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F42" w:rsidRDefault="00FA7F42" w:rsidP="00FA7F42">
      <w:pPr>
        <w:spacing w:beforeLines="50" w:before="120" w:line="360" w:lineRule="auto"/>
        <w:jc w:val="center"/>
        <w:rPr>
          <w:rFonts w:eastAsia="標楷體"/>
          <w:b/>
          <w:sz w:val="32"/>
          <w:szCs w:val="32"/>
        </w:rPr>
      </w:pPr>
      <w:r w:rsidRPr="00F650CC">
        <w:rPr>
          <w:rFonts w:eastAsia="標楷體"/>
          <w:b/>
          <w:sz w:val="32"/>
          <w:szCs w:val="32"/>
        </w:rPr>
        <w:t>2017</w:t>
      </w:r>
      <w:r w:rsidRPr="00F650CC">
        <w:rPr>
          <w:rFonts w:eastAsia="標楷體"/>
          <w:b/>
          <w:sz w:val="32"/>
          <w:szCs w:val="32"/>
        </w:rPr>
        <w:t>「</w:t>
      </w:r>
      <w:bookmarkStart w:id="0" w:name="_GoBack"/>
      <w:r w:rsidRPr="00F650CC">
        <w:rPr>
          <w:rFonts w:eastAsia="標楷體"/>
          <w:b/>
          <w:sz w:val="32"/>
          <w:szCs w:val="32"/>
        </w:rPr>
        <w:t>博物館評量」國際學術研討會</w:t>
      </w:r>
      <w:r>
        <w:rPr>
          <w:rFonts w:eastAsia="標楷體" w:hint="eastAsia"/>
          <w:b/>
          <w:sz w:val="32"/>
          <w:szCs w:val="32"/>
        </w:rPr>
        <w:t>徵稿簡章</w:t>
      </w:r>
    </w:p>
    <w:bookmarkEnd w:id="0"/>
    <w:p w:rsidR="00FA7F42" w:rsidRPr="00AA3806" w:rsidRDefault="00FA7F42" w:rsidP="00FA7F42">
      <w:pPr>
        <w:spacing w:line="360" w:lineRule="auto"/>
        <w:jc w:val="center"/>
        <w:rPr>
          <w:rFonts w:eastAsia="標楷體"/>
          <w:b/>
          <w:sz w:val="28"/>
          <w:szCs w:val="28"/>
        </w:rPr>
      </w:pPr>
      <w:r w:rsidRPr="00AA3806">
        <w:rPr>
          <w:rFonts w:eastAsia="標楷體"/>
          <w:b/>
          <w:sz w:val="28"/>
          <w:szCs w:val="28"/>
        </w:rPr>
        <w:t>2017 International Conference on Museum Evaluation</w:t>
      </w:r>
    </w:p>
    <w:p w:rsidR="00FA7F42" w:rsidRPr="00252113" w:rsidRDefault="00FA7F42" w:rsidP="00FA7F42">
      <w:pPr>
        <w:numPr>
          <w:ilvl w:val="0"/>
          <w:numId w:val="1"/>
        </w:numPr>
        <w:spacing w:beforeLines="200" w:before="480" w:line="360" w:lineRule="auto"/>
        <w:ind w:left="482" w:hanging="482"/>
        <w:jc w:val="both"/>
        <w:rPr>
          <w:rFonts w:eastAsia="標楷體"/>
          <w:b/>
          <w:sz w:val="28"/>
          <w:szCs w:val="28"/>
        </w:rPr>
      </w:pPr>
      <w:r w:rsidRPr="00252113">
        <w:rPr>
          <w:rFonts w:eastAsia="標楷體"/>
          <w:b/>
          <w:sz w:val="28"/>
          <w:szCs w:val="28"/>
        </w:rPr>
        <w:t>緣起</w:t>
      </w:r>
    </w:p>
    <w:p w:rsidR="00FA7F42" w:rsidRPr="00387859" w:rsidRDefault="00FA7F42" w:rsidP="00FA7F42">
      <w:pPr>
        <w:tabs>
          <w:tab w:val="left" w:pos="1442"/>
        </w:tabs>
        <w:spacing w:beforeLines="50" w:before="120" w:line="360" w:lineRule="auto"/>
        <w:ind w:leftChars="33" w:left="79" w:firstLineChars="200" w:firstLine="480"/>
        <w:jc w:val="both"/>
        <w:rPr>
          <w:rFonts w:eastAsia="標楷體"/>
        </w:rPr>
      </w:pPr>
      <w:r w:rsidRPr="00387859">
        <w:rPr>
          <w:rFonts w:eastAsia="標楷體"/>
        </w:rPr>
        <w:t>博物館是一個開放供大眾享有的公共機構，且其所負擔人類文化資產的蒐藏、保存、研究與溝通等任務，早因達致水準，被認定為一種專業。為維持博物館專業，博物館社群在典藏、展示、教育等各個博物館專業層面進行評量或評鑑，並發展認證制度。</w:t>
      </w:r>
    </w:p>
    <w:p w:rsidR="00FA7F42" w:rsidRPr="00387859" w:rsidRDefault="00FA7F42" w:rsidP="00FA7F42">
      <w:pPr>
        <w:tabs>
          <w:tab w:val="left" w:pos="1442"/>
        </w:tabs>
        <w:spacing w:beforeLines="50" w:before="120" w:line="360" w:lineRule="auto"/>
        <w:ind w:leftChars="33" w:left="79" w:firstLineChars="200" w:firstLine="480"/>
        <w:jc w:val="both"/>
        <w:rPr>
          <w:rFonts w:eastAsia="標楷體"/>
        </w:rPr>
      </w:pPr>
      <w:r w:rsidRPr="00387859">
        <w:rPr>
          <w:rFonts w:eastAsia="標楷體"/>
        </w:rPr>
        <w:t>新自由主義思潮興起後，新公共管理與管理主義對公部門影響深遠，政府採行的績效評量對博物館的專業評量產生了巨大的影響，博物館的評量由專業的維持與認定，融入了效能與效率，以及成本與效益等等的績效考量。並且，博物館的組織或治理方式－政府治理、公辦民營、法人化等，也成了政府再造所評估或評量的範圍。</w:t>
      </w:r>
    </w:p>
    <w:p w:rsidR="00FA7F42" w:rsidRPr="00387859" w:rsidRDefault="00FA7F42" w:rsidP="00FA7F42">
      <w:pPr>
        <w:tabs>
          <w:tab w:val="left" w:pos="1442"/>
        </w:tabs>
        <w:spacing w:beforeLines="50" w:before="120" w:line="360" w:lineRule="auto"/>
        <w:ind w:leftChars="33" w:left="79" w:firstLineChars="200" w:firstLine="480"/>
        <w:jc w:val="both"/>
        <w:rPr>
          <w:rFonts w:eastAsia="標楷體"/>
        </w:rPr>
      </w:pPr>
      <w:r w:rsidRPr="00387859">
        <w:rPr>
          <w:rFonts w:eastAsia="標楷體"/>
        </w:rPr>
        <w:t>此外，價值是博物館的另一項評量，例如在經濟面向評量博物館的使用與非使用價值、經濟影響等，或是由個人、社區、大眾等角度評量博物館的社會價值，以及評估作為文化資產保存與溝通機構的博物館的文化價值等。</w:t>
      </w:r>
    </w:p>
    <w:p w:rsidR="00FA7F42" w:rsidRDefault="00FA7F42" w:rsidP="00FA7F42">
      <w:pPr>
        <w:tabs>
          <w:tab w:val="left" w:pos="1442"/>
        </w:tabs>
        <w:spacing w:beforeLines="50" w:before="120" w:line="360" w:lineRule="auto"/>
        <w:ind w:leftChars="33" w:left="79" w:firstLineChars="200" w:firstLine="480"/>
        <w:jc w:val="both"/>
        <w:rPr>
          <w:rFonts w:eastAsia="標楷體"/>
        </w:rPr>
      </w:pPr>
      <w:r w:rsidRPr="00387859">
        <w:rPr>
          <w:rFonts w:eastAsia="標楷體"/>
        </w:rPr>
        <w:t>前述各種不同面向或類型的博物館評量，一直是博物館的研究與實踐重點。在台灣，由於</w:t>
      </w:r>
      <w:r w:rsidRPr="00387859">
        <w:rPr>
          <w:rFonts w:eastAsia="標楷體"/>
        </w:rPr>
        <w:t>2015</w:t>
      </w:r>
      <w:r w:rsidRPr="00387859">
        <w:rPr>
          <w:rFonts w:eastAsia="標楷體"/>
        </w:rPr>
        <w:t>年</w:t>
      </w:r>
      <w:r w:rsidRPr="00387859">
        <w:rPr>
          <w:rFonts w:eastAsia="標楷體"/>
        </w:rPr>
        <w:t>7</w:t>
      </w:r>
      <w:r w:rsidRPr="00387859">
        <w:rPr>
          <w:rFonts w:eastAsia="標楷體"/>
        </w:rPr>
        <w:t>月</w:t>
      </w:r>
      <w:r w:rsidRPr="00387859">
        <w:rPr>
          <w:rFonts w:eastAsia="標楷體"/>
        </w:rPr>
        <w:t>1</w:t>
      </w:r>
      <w:r w:rsidRPr="00387859">
        <w:rPr>
          <w:rFonts w:eastAsia="標楷體"/>
        </w:rPr>
        <w:t>日正式施行的博物館法規定應就典藏、研究、展示、教育、管理及公共服務等面向，建立博物館評鑑及認證制度</w:t>
      </w:r>
      <w:r w:rsidRPr="00387859">
        <w:rPr>
          <w:rStyle w:val="a8"/>
          <w:rFonts w:eastAsia="標楷體"/>
        </w:rPr>
        <w:footnoteReference w:id="1"/>
      </w:r>
      <w:r w:rsidRPr="00387859">
        <w:rPr>
          <w:rFonts w:eastAsia="標楷體"/>
        </w:rPr>
        <w:t>（博物館法第</w:t>
      </w:r>
      <w:r w:rsidRPr="00387859">
        <w:rPr>
          <w:rFonts w:eastAsia="標楷體"/>
        </w:rPr>
        <w:t>16</w:t>
      </w:r>
      <w:r w:rsidRPr="00387859">
        <w:rPr>
          <w:rFonts w:eastAsia="標楷體"/>
        </w:rPr>
        <w:t>條），使得博物館評量相關議題顯得更為重要。為此，規劃舉辦本次研討會，希望邀請國內、外專家學者，並舉辦徵稿，就博物館評量相關議題進行研討，期望增進博物館社群對此議題的深入了解，並助益於我國博物館評量的理論建構與實務運作，促進博物館社群的共同進步。</w:t>
      </w:r>
      <w:r>
        <w:rPr>
          <w:rFonts w:eastAsia="標楷體" w:hint="eastAsia"/>
        </w:rPr>
        <w:t>研討會目的如下</w:t>
      </w:r>
      <w:r>
        <w:rPr>
          <w:rFonts w:ascii="新細明體" w:hAnsi="新細明體" w:hint="eastAsia"/>
        </w:rPr>
        <w:t>：</w:t>
      </w:r>
    </w:p>
    <w:p w:rsidR="00FA7F42" w:rsidRPr="00387859" w:rsidRDefault="00FA7F42" w:rsidP="00FA7F42">
      <w:pPr>
        <w:pStyle w:val="a9"/>
        <w:numPr>
          <w:ilvl w:val="0"/>
          <w:numId w:val="7"/>
        </w:numPr>
        <w:spacing w:line="360" w:lineRule="auto"/>
        <w:ind w:leftChars="0"/>
        <w:rPr>
          <w:rFonts w:eastAsia="標楷體"/>
        </w:rPr>
      </w:pPr>
      <w:r w:rsidRPr="00387859">
        <w:rPr>
          <w:rFonts w:eastAsia="標楷體"/>
        </w:rPr>
        <w:t>增進博物館評鑑與認證及相關議題領域知識的發展；</w:t>
      </w:r>
    </w:p>
    <w:p w:rsidR="00FA7F42" w:rsidRDefault="00FA7F42" w:rsidP="00FA7F42">
      <w:pPr>
        <w:pStyle w:val="a9"/>
        <w:numPr>
          <w:ilvl w:val="0"/>
          <w:numId w:val="7"/>
        </w:numPr>
        <w:spacing w:line="360" w:lineRule="auto"/>
        <w:ind w:leftChars="0"/>
        <w:rPr>
          <w:rFonts w:eastAsia="標楷體"/>
        </w:rPr>
      </w:pPr>
      <w:r w:rsidRPr="00387859">
        <w:rPr>
          <w:rFonts w:eastAsia="標楷體"/>
        </w:rPr>
        <w:t>落實學術與實務應用的教學需求，呈現博物館學研究之特色</w:t>
      </w:r>
      <w:r>
        <w:rPr>
          <w:rFonts w:eastAsia="標楷體" w:hint="eastAsia"/>
        </w:rPr>
        <w:t>；</w:t>
      </w:r>
    </w:p>
    <w:p w:rsidR="00FA7F42" w:rsidRPr="00AA3806" w:rsidRDefault="00FA7F42" w:rsidP="00FA7F42">
      <w:pPr>
        <w:pStyle w:val="a9"/>
        <w:numPr>
          <w:ilvl w:val="0"/>
          <w:numId w:val="7"/>
        </w:numPr>
        <w:spacing w:line="360" w:lineRule="auto"/>
        <w:ind w:leftChars="0"/>
        <w:rPr>
          <w:rFonts w:eastAsia="標楷體"/>
        </w:rPr>
      </w:pPr>
      <w:r w:rsidRPr="00AA3806">
        <w:rPr>
          <w:rFonts w:eastAsia="標楷體" w:hint="eastAsia"/>
        </w:rPr>
        <w:t>藉由研討會，與國內、外領域專家學者交流。</w:t>
      </w:r>
    </w:p>
    <w:p w:rsidR="00FA7F42" w:rsidRPr="00252113" w:rsidRDefault="00FA7F42" w:rsidP="00FA7F42">
      <w:pPr>
        <w:numPr>
          <w:ilvl w:val="0"/>
          <w:numId w:val="1"/>
        </w:numPr>
        <w:spacing w:beforeLines="150" w:before="360" w:line="360" w:lineRule="auto"/>
        <w:ind w:left="482" w:hanging="482"/>
        <w:jc w:val="both"/>
        <w:rPr>
          <w:rFonts w:eastAsia="標楷體"/>
          <w:b/>
          <w:sz w:val="28"/>
          <w:szCs w:val="28"/>
        </w:rPr>
      </w:pPr>
      <w:r w:rsidRPr="00252113">
        <w:rPr>
          <w:rFonts w:eastAsia="標楷體"/>
          <w:b/>
          <w:sz w:val="28"/>
          <w:szCs w:val="28"/>
        </w:rPr>
        <w:lastRenderedPageBreak/>
        <w:t>辦理單位</w:t>
      </w:r>
      <w:r>
        <w:rPr>
          <w:rFonts w:eastAsia="標楷體" w:hint="eastAsia"/>
          <w:b/>
          <w:sz w:val="28"/>
          <w:szCs w:val="28"/>
        </w:rPr>
        <w:t>與研討會</w:t>
      </w:r>
      <w:r w:rsidRPr="00252113">
        <w:rPr>
          <w:rFonts w:eastAsia="標楷體"/>
          <w:b/>
          <w:sz w:val="28"/>
          <w:szCs w:val="28"/>
        </w:rPr>
        <w:t>時間</w:t>
      </w:r>
      <w:r>
        <w:rPr>
          <w:rFonts w:eastAsia="標楷體" w:hint="eastAsia"/>
          <w:b/>
          <w:sz w:val="28"/>
          <w:szCs w:val="28"/>
        </w:rPr>
        <w:t>、</w:t>
      </w:r>
      <w:r>
        <w:rPr>
          <w:rFonts w:eastAsia="標楷體"/>
          <w:b/>
          <w:sz w:val="28"/>
          <w:szCs w:val="28"/>
        </w:rPr>
        <w:t>地點</w:t>
      </w:r>
    </w:p>
    <w:p w:rsidR="00FA7F42" w:rsidRDefault="00FA7F42" w:rsidP="00FA7F42">
      <w:pPr>
        <w:numPr>
          <w:ilvl w:val="0"/>
          <w:numId w:val="2"/>
        </w:numPr>
        <w:spacing w:line="360" w:lineRule="auto"/>
        <w:rPr>
          <w:rFonts w:eastAsia="標楷體"/>
        </w:rPr>
      </w:pPr>
      <w:r w:rsidRPr="00252113">
        <w:rPr>
          <w:rFonts w:eastAsia="標楷體"/>
        </w:rPr>
        <w:t>主辦單位：國立科學工藝博物館、</w:t>
      </w:r>
      <w:r w:rsidRPr="00E25AFE">
        <w:rPr>
          <w:rFonts w:eastAsia="標楷體" w:hAnsi="標楷體"/>
        </w:rPr>
        <w:t>國立臺南藝術大學博物館學與古物維護研究所</w:t>
      </w:r>
      <w:r w:rsidRPr="007E2728">
        <w:rPr>
          <w:rFonts w:eastAsia="標楷體" w:hint="eastAsia"/>
        </w:rPr>
        <w:t>、國立中山大學劇場藝術系、</w:t>
      </w:r>
      <w:r>
        <w:rPr>
          <w:rFonts w:eastAsia="標楷體" w:hint="eastAsia"/>
        </w:rPr>
        <w:t>國立成功大學博物館</w:t>
      </w:r>
      <w:r w:rsidRPr="007E2728">
        <w:rPr>
          <w:rFonts w:eastAsia="標楷體" w:hint="eastAsia"/>
        </w:rPr>
        <w:t>、文藻</w:t>
      </w:r>
      <w:r>
        <w:rPr>
          <w:rFonts w:eastAsia="標楷體" w:hint="eastAsia"/>
        </w:rPr>
        <w:t>外語</w:t>
      </w:r>
      <w:r w:rsidRPr="007E2728">
        <w:rPr>
          <w:rFonts w:eastAsia="標楷體" w:hint="eastAsia"/>
        </w:rPr>
        <w:t>大學</w:t>
      </w:r>
      <w:r w:rsidRPr="00AA3806">
        <w:rPr>
          <w:rFonts w:eastAsia="標楷體" w:hint="eastAsia"/>
        </w:rPr>
        <w:t>傳播藝術系暨創意藝術產業研究所</w:t>
      </w:r>
      <w:r w:rsidRPr="007E2728">
        <w:rPr>
          <w:rFonts w:eastAsia="標楷體" w:hint="eastAsia"/>
        </w:rPr>
        <w:t>、中華民國博物館學會</w:t>
      </w:r>
    </w:p>
    <w:p w:rsidR="00FA7F42" w:rsidRPr="00252113" w:rsidRDefault="00FA7F42" w:rsidP="00FA7F42">
      <w:pPr>
        <w:numPr>
          <w:ilvl w:val="0"/>
          <w:numId w:val="2"/>
        </w:numPr>
        <w:spacing w:line="360" w:lineRule="auto"/>
        <w:rPr>
          <w:rFonts w:eastAsia="標楷體"/>
        </w:rPr>
      </w:pPr>
      <w:r w:rsidRPr="00252113">
        <w:rPr>
          <w:rFonts w:eastAsia="標楷體"/>
        </w:rPr>
        <w:t>時間：</w:t>
      </w:r>
      <w:r w:rsidRPr="00252113">
        <w:rPr>
          <w:rFonts w:eastAsia="標楷體" w:hAnsi="標楷體"/>
        </w:rPr>
        <w:t>民國</w:t>
      </w:r>
      <w:r w:rsidRPr="00252113">
        <w:rPr>
          <w:rFonts w:eastAsia="標楷體"/>
        </w:rPr>
        <w:t>10</w:t>
      </w:r>
      <w:r>
        <w:rPr>
          <w:rFonts w:eastAsia="標楷體" w:hint="eastAsia"/>
        </w:rPr>
        <w:t>6</w:t>
      </w:r>
      <w:r w:rsidRPr="00252113">
        <w:rPr>
          <w:rFonts w:eastAsia="標楷體"/>
        </w:rPr>
        <w:t>年</w:t>
      </w:r>
      <w:r w:rsidRPr="00252113">
        <w:rPr>
          <w:rFonts w:eastAsia="標楷體"/>
        </w:rPr>
        <w:t>10</w:t>
      </w:r>
      <w:r w:rsidRPr="00252113">
        <w:rPr>
          <w:rFonts w:eastAsia="標楷體"/>
        </w:rPr>
        <w:t>月</w:t>
      </w:r>
      <w:r>
        <w:rPr>
          <w:rFonts w:eastAsia="標楷體" w:hint="eastAsia"/>
        </w:rPr>
        <w:t>19</w:t>
      </w:r>
      <w:r w:rsidRPr="00252113">
        <w:rPr>
          <w:rFonts w:eastAsia="標楷體"/>
        </w:rPr>
        <w:t>日（週四）、</w:t>
      </w:r>
      <w:r w:rsidRPr="00252113">
        <w:rPr>
          <w:rFonts w:eastAsia="標楷體"/>
        </w:rPr>
        <w:t>10</w:t>
      </w:r>
      <w:r w:rsidRPr="00252113">
        <w:rPr>
          <w:rFonts w:eastAsia="標楷體"/>
        </w:rPr>
        <w:t>月</w:t>
      </w:r>
      <w:r>
        <w:rPr>
          <w:rFonts w:eastAsia="標楷體" w:hint="eastAsia"/>
        </w:rPr>
        <w:t>20</w:t>
      </w:r>
      <w:r w:rsidRPr="00252113">
        <w:rPr>
          <w:rFonts w:eastAsia="標楷體"/>
        </w:rPr>
        <w:t>日（週五）</w:t>
      </w:r>
      <w:r>
        <w:rPr>
          <w:rFonts w:eastAsia="標楷體" w:hint="eastAsia"/>
        </w:rPr>
        <w:t>。</w:t>
      </w:r>
    </w:p>
    <w:p w:rsidR="00FA7F42" w:rsidRPr="00252113" w:rsidRDefault="00FA7F42" w:rsidP="00FA7F42">
      <w:pPr>
        <w:numPr>
          <w:ilvl w:val="0"/>
          <w:numId w:val="2"/>
        </w:numPr>
        <w:spacing w:line="360" w:lineRule="auto"/>
        <w:rPr>
          <w:rFonts w:eastAsia="標楷體"/>
        </w:rPr>
      </w:pPr>
      <w:r w:rsidRPr="00252113">
        <w:rPr>
          <w:rFonts w:eastAsia="標楷體"/>
        </w:rPr>
        <w:t>地點：國立科學工藝博物館</w:t>
      </w:r>
      <w:r>
        <w:rPr>
          <w:rFonts w:eastAsia="標楷體" w:hint="eastAsia"/>
        </w:rPr>
        <w:t>南館</w:t>
      </w:r>
      <w:r w:rsidRPr="00252113">
        <w:rPr>
          <w:rFonts w:eastAsia="標楷體"/>
        </w:rPr>
        <w:t>（高雄市三民區九如一路</w:t>
      </w:r>
      <w:r w:rsidRPr="00252113">
        <w:rPr>
          <w:rFonts w:eastAsia="標楷體"/>
        </w:rPr>
        <w:t>797</w:t>
      </w:r>
      <w:r w:rsidRPr="00252113">
        <w:rPr>
          <w:rFonts w:eastAsia="標楷體"/>
        </w:rPr>
        <w:t>號）。</w:t>
      </w:r>
    </w:p>
    <w:p w:rsidR="00FA7F42" w:rsidRPr="007E2728" w:rsidRDefault="00FA7F42" w:rsidP="00FA7F42">
      <w:pPr>
        <w:numPr>
          <w:ilvl w:val="0"/>
          <w:numId w:val="1"/>
        </w:numPr>
        <w:spacing w:beforeLines="150" w:before="360" w:line="360" w:lineRule="auto"/>
        <w:ind w:left="482" w:hanging="482"/>
        <w:jc w:val="both"/>
        <w:rPr>
          <w:rFonts w:eastAsia="標楷體"/>
        </w:rPr>
      </w:pPr>
      <w:r>
        <w:rPr>
          <w:rFonts w:eastAsia="標楷體" w:hint="eastAsia"/>
          <w:b/>
          <w:sz w:val="28"/>
          <w:szCs w:val="28"/>
        </w:rPr>
        <w:t>論文投</w:t>
      </w:r>
      <w:r w:rsidRPr="00252113">
        <w:rPr>
          <w:rFonts w:eastAsia="標楷體"/>
          <w:b/>
          <w:sz w:val="28"/>
          <w:szCs w:val="28"/>
        </w:rPr>
        <w:t>稿</w:t>
      </w:r>
      <w:r>
        <w:rPr>
          <w:rFonts w:eastAsia="標楷體" w:hint="eastAsia"/>
          <w:b/>
          <w:sz w:val="28"/>
          <w:szCs w:val="28"/>
        </w:rPr>
        <w:t>與審查</w:t>
      </w:r>
    </w:p>
    <w:p w:rsidR="00FA7F42" w:rsidRPr="003E18C4" w:rsidRDefault="00FA7F42" w:rsidP="00FA7F42">
      <w:pPr>
        <w:numPr>
          <w:ilvl w:val="0"/>
          <w:numId w:val="8"/>
        </w:numPr>
        <w:tabs>
          <w:tab w:val="clear" w:pos="1146"/>
        </w:tabs>
        <w:spacing w:beforeLines="50" w:before="120" w:line="360" w:lineRule="auto"/>
        <w:ind w:left="709"/>
        <w:jc w:val="both"/>
        <w:rPr>
          <w:rFonts w:eastAsia="標楷體" w:hAnsi="標楷體"/>
        </w:rPr>
      </w:pPr>
      <w:r w:rsidRPr="003E18C4">
        <w:rPr>
          <w:rFonts w:eastAsia="標楷體" w:hAnsi="標楷體" w:hint="eastAsia"/>
        </w:rPr>
        <w:t>辦理方式與</w:t>
      </w:r>
      <w:r w:rsidRPr="003E18C4">
        <w:rPr>
          <w:rFonts w:eastAsia="標楷體" w:hAnsi="標楷體"/>
        </w:rPr>
        <w:t>徵稿議題</w:t>
      </w:r>
    </w:p>
    <w:p w:rsidR="00FA7F42" w:rsidRPr="00387859" w:rsidRDefault="00FA7F42" w:rsidP="00FA7F42">
      <w:pPr>
        <w:tabs>
          <w:tab w:val="left" w:pos="1442"/>
        </w:tabs>
        <w:spacing w:beforeLines="50" w:before="120" w:line="360" w:lineRule="auto"/>
        <w:ind w:leftChars="33" w:left="79" w:firstLineChars="200" w:firstLine="480"/>
        <w:jc w:val="both"/>
        <w:rPr>
          <w:rFonts w:eastAsia="標楷體"/>
        </w:rPr>
      </w:pPr>
      <w:r w:rsidRPr="00387859">
        <w:rPr>
          <w:rFonts w:eastAsia="標楷體"/>
        </w:rPr>
        <w:t>為擴大參與，除邀稿外，本研討會將採徵稿方式辦理，徵稿議題如下（暫定），但不限：</w:t>
      </w:r>
    </w:p>
    <w:p w:rsidR="00FA7F42" w:rsidRPr="00387859" w:rsidRDefault="00FA7F42" w:rsidP="00FA7F42">
      <w:pPr>
        <w:pStyle w:val="a9"/>
        <w:numPr>
          <w:ilvl w:val="0"/>
          <w:numId w:val="7"/>
        </w:numPr>
        <w:spacing w:line="360" w:lineRule="auto"/>
        <w:ind w:leftChars="0"/>
        <w:rPr>
          <w:rFonts w:eastAsia="標楷體"/>
        </w:rPr>
      </w:pPr>
      <w:r w:rsidRPr="00387859">
        <w:rPr>
          <w:rFonts w:eastAsia="標楷體"/>
        </w:rPr>
        <w:t>博物館評量（</w:t>
      </w:r>
      <w:r w:rsidRPr="00387859">
        <w:rPr>
          <w:rFonts w:eastAsia="標楷體"/>
        </w:rPr>
        <w:t>evaluation/assessment</w:t>
      </w:r>
      <w:r w:rsidRPr="00387859">
        <w:rPr>
          <w:rFonts w:eastAsia="標楷體"/>
        </w:rPr>
        <w:t>）：為維持博物館專業，或為發現問題並改善等目的而實施的博物館典藏、研究、展示、教育、管理、公共服務等單項或多項的專業面向評量。有關博物館各項專業面向評量的理論、方法、實務等。</w:t>
      </w:r>
    </w:p>
    <w:p w:rsidR="00FA7F42" w:rsidRPr="00387859" w:rsidRDefault="00FA7F42" w:rsidP="00FA7F42">
      <w:pPr>
        <w:pStyle w:val="a9"/>
        <w:numPr>
          <w:ilvl w:val="0"/>
          <w:numId w:val="7"/>
        </w:numPr>
        <w:spacing w:line="360" w:lineRule="auto"/>
        <w:ind w:leftChars="0"/>
        <w:rPr>
          <w:rFonts w:eastAsia="標楷體"/>
        </w:rPr>
      </w:pPr>
      <w:r w:rsidRPr="00387859">
        <w:rPr>
          <w:rFonts w:eastAsia="標楷體"/>
        </w:rPr>
        <w:t>博物館認證（</w:t>
      </w:r>
      <w:r w:rsidRPr="00387859">
        <w:rPr>
          <w:rFonts w:eastAsia="標楷體"/>
        </w:rPr>
        <w:t>accreditation</w:t>
      </w:r>
      <w:r w:rsidRPr="00387859">
        <w:rPr>
          <w:rFonts w:eastAsia="標楷體"/>
        </w:rPr>
        <w:t>）：為認定博物館是否達致某種程度的專業水準或符合特定標準所設計的評量或評鑑制度。有關各國博物館認證制度的探討、反思等。</w:t>
      </w:r>
    </w:p>
    <w:p w:rsidR="00FA7F42" w:rsidRPr="00387859" w:rsidRDefault="00FA7F42" w:rsidP="00FA7F42">
      <w:pPr>
        <w:pStyle w:val="a9"/>
        <w:numPr>
          <w:ilvl w:val="0"/>
          <w:numId w:val="7"/>
        </w:numPr>
        <w:spacing w:line="360" w:lineRule="auto"/>
        <w:ind w:leftChars="0"/>
        <w:rPr>
          <w:rFonts w:eastAsia="標楷體"/>
        </w:rPr>
      </w:pPr>
      <w:r w:rsidRPr="00387859">
        <w:rPr>
          <w:rFonts w:eastAsia="標楷體"/>
        </w:rPr>
        <w:t>博物館績效評量（</w:t>
      </w:r>
      <w:r w:rsidRPr="00387859">
        <w:rPr>
          <w:rFonts w:eastAsia="標楷體"/>
        </w:rPr>
        <w:t>performance evaluation/assessment/measurement</w:t>
      </w:r>
      <w:r w:rsidRPr="00387859">
        <w:rPr>
          <w:rFonts w:eastAsia="標楷體"/>
        </w:rPr>
        <w:t>）：由產出、效能、效率、成本、效益等管理觀點所進行的博物館績效評量。包括評量架構、指標建立、實務案例等。</w:t>
      </w:r>
    </w:p>
    <w:p w:rsidR="00FA7F42" w:rsidRPr="00387859" w:rsidRDefault="00FA7F42" w:rsidP="00FA7F42">
      <w:pPr>
        <w:pStyle w:val="a9"/>
        <w:numPr>
          <w:ilvl w:val="0"/>
          <w:numId w:val="7"/>
        </w:numPr>
        <w:spacing w:line="360" w:lineRule="auto"/>
        <w:ind w:leftChars="0"/>
        <w:rPr>
          <w:rFonts w:eastAsia="標楷體"/>
        </w:rPr>
      </w:pPr>
      <w:r w:rsidRPr="00387859">
        <w:rPr>
          <w:rFonts w:eastAsia="標楷體"/>
        </w:rPr>
        <w:t>治理（</w:t>
      </w:r>
      <w:r w:rsidRPr="00387859">
        <w:rPr>
          <w:rFonts w:eastAsia="標楷體"/>
        </w:rPr>
        <w:t>governance</w:t>
      </w:r>
      <w:r w:rsidRPr="00387859">
        <w:rPr>
          <w:rFonts w:eastAsia="標楷體"/>
        </w:rPr>
        <w:t>）方式評量：探討政府治理（公營）、公辦民營、法人化等各種博物館治理方式的探討、優劣、成果等各面向的治理方式評量。</w:t>
      </w:r>
    </w:p>
    <w:p w:rsidR="00FA7F42" w:rsidRPr="00387859" w:rsidRDefault="00FA7F42" w:rsidP="00FA7F42">
      <w:pPr>
        <w:pStyle w:val="a9"/>
        <w:numPr>
          <w:ilvl w:val="0"/>
          <w:numId w:val="7"/>
        </w:numPr>
        <w:spacing w:line="360" w:lineRule="auto"/>
        <w:ind w:leftChars="0"/>
        <w:rPr>
          <w:rFonts w:eastAsia="標楷體"/>
        </w:rPr>
      </w:pPr>
      <w:r w:rsidRPr="00387859">
        <w:rPr>
          <w:rFonts w:eastAsia="標楷體"/>
        </w:rPr>
        <w:t>博物館價值評量：博物館經濟、社會、文化等各面向的價值評量，如博物館的使用或</w:t>
      </w:r>
      <w:r w:rsidRPr="00387859">
        <w:rPr>
          <w:rFonts w:eastAsia="標楷體"/>
        </w:rPr>
        <w:t>/</w:t>
      </w:r>
      <w:r w:rsidRPr="00387859">
        <w:rPr>
          <w:rFonts w:eastAsia="標楷體"/>
        </w:rPr>
        <w:t>與非使用價值、經濟影響等；由個人、社區、大眾等角度的探討博物館社會價值，以及文化等價值的評量。</w:t>
      </w:r>
    </w:p>
    <w:p w:rsidR="00FA7F42" w:rsidRPr="00387859" w:rsidRDefault="00FA7F42" w:rsidP="00FA7F42">
      <w:pPr>
        <w:pStyle w:val="a9"/>
        <w:numPr>
          <w:ilvl w:val="0"/>
          <w:numId w:val="7"/>
        </w:numPr>
        <w:spacing w:line="360" w:lineRule="auto"/>
        <w:ind w:leftChars="0"/>
        <w:rPr>
          <w:rFonts w:eastAsia="標楷體"/>
        </w:rPr>
      </w:pPr>
      <w:r w:rsidRPr="00387859">
        <w:rPr>
          <w:rFonts w:eastAsia="標楷體"/>
        </w:rPr>
        <w:t>博物館專業社群：許多國家的博物館評量或認證，是由博物館專業社群辦理，例如美國與英國。有關專業社群與博物館評量的探討、案例引介等。</w:t>
      </w:r>
    </w:p>
    <w:p w:rsidR="00FA7F42" w:rsidRPr="00387859" w:rsidRDefault="00FA7F42" w:rsidP="00FA7F42">
      <w:pPr>
        <w:pStyle w:val="a9"/>
        <w:numPr>
          <w:ilvl w:val="0"/>
          <w:numId w:val="7"/>
        </w:numPr>
        <w:spacing w:line="360" w:lineRule="auto"/>
        <w:ind w:leftChars="0"/>
        <w:rPr>
          <w:rFonts w:eastAsia="標楷體"/>
        </w:rPr>
      </w:pPr>
      <w:r w:rsidRPr="00387859">
        <w:rPr>
          <w:rFonts w:eastAsia="標楷體"/>
        </w:rPr>
        <w:t>博物館法與評鑑及認證：對於我國博物館法及相關子法所規範的評鑑及認證規定、實施計畫、試辦情形等的探討。</w:t>
      </w:r>
    </w:p>
    <w:p w:rsidR="00FA7F42" w:rsidRPr="00387859" w:rsidRDefault="00FA7F42" w:rsidP="00FA7F42">
      <w:pPr>
        <w:pStyle w:val="a9"/>
        <w:numPr>
          <w:ilvl w:val="0"/>
          <w:numId w:val="7"/>
        </w:numPr>
        <w:spacing w:line="360" w:lineRule="auto"/>
        <w:ind w:leftChars="0"/>
        <w:rPr>
          <w:rFonts w:eastAsia="標楷體"/>
        </w:rPr>
      </w:pPr>
      <w:r w:rsidRPr="00387859">
        <w:rPr>
          <w:rFonts w:eastAsia="標楷體"/>
        </w:rPr>
        <w:t>其他：與博物館</w:t>
      </w:r>
      <w:r>
        <w:rPr>
          <w:rFonts w:eastAsia="標楷體" w:hint="eastAsia"/>
        </w:rPr>
        <w:t>評量有關的探討</w:t>
      </w:r>
      <w:r>
        <w:rPr>
          <w:rFonts w:ascii="新細明體" w:hAnsi="新細明體" w:hint="eastAsia"/>
        </w:rPr>
        <w:t>。</w:t>
      </w:r>
    </w:p>
    <w:p w:rsidR="00FA7F42" w:rsidRDefault="00FA7F42" w:rsidP="00FA7F42">
      <w:pPr>
        <w:numPr>
          <w:ilvl w:val="0"/>
          <w:numId w:val="8"/>
        </w:numPr>
        <w:tabs>
          <w:tab w:val="clear" w:pos="1146"/>
        </w:tabs>
        <w:spacing w:beforeLines="50" w:before="120" w:line="360" w:lineRule="auto"/>
        <w:ind w:left="709"/>
        <w:jc w:val="both"/>
        <w:rPr>
          <w:rFonts w:eastAsia="標楷體"/>
        </w:rPr>
      </w:pPr>
      <w:r w:rsidRPr="00387859">
        <w:rPr>
          <w:rFonts w:eastAsia="標楷體"/>
        </w:rPr>
        <w:lastRenderedPageBreak/>
        <w:t>論文投稿重要日期</w:t>
      </w:r>
    </w:p>
    <w:p w:rsidR="00FA7F42" w:rsidRPr="00387859" w:rsidRDefault="00FA7F42" w:rsidP="00FA7F42">
      <w:pPr>
        <w:spacing w:beforeLines="50" w:before="120" w:line="360" w:lineRule="auto"/>
        <w:ind w:left="709"/>
        <w:jc w:val="both"/>
        <w:rPr>
          <w:rFonts w:eastAsia="標楷體"/>
        </w:rPr>
      </w:pPr>
      <w:r>
        <w:rPr>
          <w:rFonts w:eastAsia="標楷體" w:hint="eastAsia"/>
        </w:rPr>
        <w:t>如下</w:t>
      </w:r>
      <w:r>
        <w:rPr>
          <w:rFonts w:ascii="新細明體" w:hAnsi="新細明體" w:hint="eastAsia"/>
        </w:rPr>
        <w:t>：</w:t>
      </w:r>
      <w:r w:rsidRPr="00387859">
        <w:rPr>
          <w:rFonts w:eastAsia="標楷體"/>
        </w:rPr>
        <w:t>（</w:t>
      </w:r>
      <w:r w:rsidRPr="00387859">
        <w:rPr>
          <w:rFonts w:eastAsia="標楷體"/>
        </w:rPr>
        <w:t>2017</w:t>
      </w:r>
      <w:r w:rsidRPr="00387859">
        <w:rPr>
          <w:rFonts w:eastAsia="標楷體"/>
        </w:rPr>
        <w:t>年）</w:t>
      </w:r>
    </w:p>
    <w:p w:rsidR="00FA7F42" w:rsidRPr="00387859" w:rsidRDefault="00FA7F42" w:rsidP="00FA7F42">
      <w:pPr>
        <w:pStyle w:val="a9"/>
        <w:numPr>
          <w:ilvl w:val="0"/>
          <w:numId w:val="7"/>
        </w:numPr>
        <w:spacing w:line="360" w:lineRule="auto"/>
        <w:ind w:leftChars="0"/>
        <w:rPr>
          <w:rFonts w:eastAsia="標楷體"/>
        </w:rPr>
      </w:pPr>
      <w:r w:rsidRPr="00387859">
        <w:rPr>
          <w:rFonts w:eastAsia="標楷體"/>
        </w:rPr>
        <w:t>4</w:t>
      </w:r>
      <w:r w:rsidRPr="00387859">
        <w:rPr>
          <w:rFonts w:eastAsia="標楷體"/>
        </w:rPr>
        <w:t>月</w:t>
      </w:r>
      <w:r w:rsidRPr="00387859">
        <w:rPr>
          <w:rFonts w:eastAsia="標楷體"/>
        </w:rPr>
        <w:t>15</w:t>
      </w:r>
      <w:r w:rsidRPr="00387859">
        <w:rPr>
          <w:rFonts w:eastAsia="標楷體"/>
        </w:rPr>
        <w:t>日：徵稿開始</w:t>
      </w:r>
    </w:p>
    <w:p w:rsidR="00FA7F42" w:rsidRPr="00387859" w:rsidRDefault="00FA7F42" w:rsidP="00FA7F42">
      <w:pPr>
        <w:pStyle w:val="a9"/>
        <w:numPr>
          <w:ilvl w:val="0"/>
          <w:numId w:val="7"/>
        </w:numPr>
        <w:spacing w:line="360" w:lineRule="auto"/>
        <w:ind w:leftChars="0"/>
        <w:rPr>
          <w:rFonts w:eastAsia="標楷體"/>
        </w:rPr>
      </w:pPr>
      <w:r w:rsidRPr="00387859">
        <w:rPr>
          <w:rFonts w:eastAsia="標楷體"/>
        </w:rPr>
        <w:t>7</w:t>
      </w:r>
      <w:r w:rsidRPr="00387859">
        <w:rPr>
          <w:rFonts w:eastAsia="標楷體"/>
        </w:rPr>
        <w:t>月</w:t>
      </w:r>
      <w:r w:rsidRPr="00387859">
        <w:rPr>
          <w:rFonts w:eastAsia="標楷體"/>
        </w:rPr>
        <w:t>15</w:t>
      </w:r>
      <w:r w:rsidRPr="00387859">
        <w:rPr>
          <w:rFonts w:eastAsia="標楷體"/>
        </w:rPr>
        <w:t>日：摘要遞交截止</w:t>
      </w:r>
    </w:p>
    <w:p w:rsidR="00FA7F42" w:rsidRPr="00387859" w:rsidRDefault="00FA7F42" w:rsidP="00FA7F42">
      <w:pPr>
        <w:pStyle w:val="a9"/>
        <w:numPr>
          <w:ilvl w:val="0"/>
          <w:numId w:val="7"/>
        </w:numPr>
        <w:spacing w:line="360" w:lineRule="auto"/>
        <w:ind w:leftChars="0"/>
        <w:rPr>
          <w:rFonts w:eastAsia="標楷體"/>
        </w:rPr>
      </w:pPr>
      <w:r w:rsidRPr="00387859">
        <w:rPr>
          <w:rFonts w:eastAsia="標楷體"/>
        </w:rPr>
        <w:t>8</w:t>
      </w:r>
      <w:r w:rsidRPr="00387859">
        <w:rPr>
          <w:rFonts w:eastAsia="標楷體"/>
        </w:rPr>
        <w:t>月</w:t>
      </w:r>
      <w:r w:rsidRPr="00387859">
        <w:rPr>
          <w:rFonts w:eastAsia="標楷體"/>
        </w:rPr>
        <w:t>7</w:t>
      </w:r>
      <w:r w:rsidRPr="00387859">
        <w:rPr>
          <w:rFonts w:eastAsia="標楷體"/>
        </w:rPr>
        <w:t>日：錄取稿件公告</w:t>
      </w:r>
    </w:p>
    <w:p w:rsidR="00FA7F42" w:rsidRDefault="00FA7F42" w:rsidP="00FA7F42">
      <w:pPr>
        <w:pStyle w:val="a9"/>
        <w:numPr>
          <w:ilvl w:val="0"/>
          <w:numId w:val="7"/>
        </w:numPr>
        <w:spacing w:line="360" w:lineRule="auto"/>
        <w:ind w:leftChars="0"/>
        <w:rPr>
          <w:rFonts w:eastAsia="標楷體"/>
        </w:rPr>
      </w:pPr>
      <w:r w:rsidRPr="00387859">
        <w:rPr>
          <w:rFonts w:eastAsia="標楷體"/>
        </w:rPr>
        <w:t>10</w:t>
      </w:r>
      <w:r w:rsidRPr="00387859">
        <w:rPr>
          <w:rFonts w:eastAsia="標楷體"/>
        </w:rPr>
        <w:t>月</w:t>
      </w:r>
      <w:r w:rsidRPr="00387859">
        <w:rPr>
          <w:rFonts w:eastAsia="標楷體"/>
        </w:rPr>
        <w:t>5</w:t>
      </w:r>
      <w:r w:rsidRPr="00387859">
        <w:rPr>
          <w:rFonts w:eastAsia="標楷體"/>
        </w:rPr>
        <w:t>日：繳交發表投影片檔（</w:t>
      </w:r>
      <w:r w:rsidRPr="00387859">
        <w:rPr>
          <w:rFonts w:eastAsia="標楷體"/>
        </w:rPr>
        <w:t>Powerpoint</w:t>
      </w:r>
      <w:r w:rsidRPr="00387859">
        <w:rPr>
          <w:rFonts w:eastAsia="標楷體"/>
        </w:rPr>
        <w:t>）</w:t>
      </w:r>
    </w:p>
    <w:p w:rsidR="00FA7F42" w:rsidRDefault="00FA7F42" w:rsidP="00FA7F42">
      <w:pPr>
        <w:pStyle w:val="a9"/>
        <w:numPr>
          <w:ilvl w:val="0"/>
          <w:numId w:val="7"/>
        </w:numPr>
        <w:spacing w:line="360" w:lineRule="auto"/>
        <w:ind w:leftChars="0"/>
        <w:rPr>
          <w:rFonts w:eastAsia="標楷體"/>
        </w:rPr>
      </w:pPr>
      <w:r w:rsidRPr="00387859">
        <w:rPr>
          <w:rFonts w:eastAsia="標楷體"/>
        </w:rPr>
        <w:t>10</w:t>
      </w:r>
      <w:r w:rsidRPr="00387859">
        <w:rPr>
          <w:rFonts w:eastAsia="標楷體"/>
        </w:rPr>
        <w:t>月</w:t>
      </w:r>
      <w:r w:rsidRPr="00387859">
        <w:rPr>
          <w:rFonts w:eastAsia="標楷體"/>
        </w:rPr>
        <w:t>19-20</w:t>
      </w:r>
      <w:r w:rsidRPr="00387859">
        <w:rPr>
          <w:rFonts w:eastAsia="標楷體"/>
        </w:rPr>
        <w:t>日：研討會發表</w:t>
      </w:r>
      <w:r w:rsidRPr="00387859">
        <w:rPr>
          <w:rFonts w:eastAsia="標楷體"/>
        </w:rPr>
        <w:t xml:space="preserve"> </w:t>
      </w:r>
    </w:p>
    <w:p w:rsidR="00FA7F42" w:rsidRPr="00387859" w:rsidRDefault="00FA7F42" w:rsidP="00FA7F42">
      <w:pPr>
        <w:numPr>
          <w:ilvl w:val="0"/>
          <w:numId w:val="8"/>
        </w:numPr>
        <w:tabs>
          <w:tab w:val="clear" w:pos="1146"/>
        </w:tabs>
        <w:spacing w:beforeLines="50" w:before="120" w:line="360" w:lineRule="auto"/>
        <w:ind w:left="709"/>
        <w:jc w:val="both"/>
        <w:rPr>
          <w:rFonts w:eastAsia="標楷體"/>
        </w:rPr>
      </w:pPr>
      <w:r w:rsidRPr="00387859">
        <w:rPr>
          <w:rFonts w:eastAsia="標楷體"/>
        </w:rPr>
        <w:t>投稿相關規定</w:t>
      </w:r>
    </w:p>
    <w:p w:rsidR="00FA7F42" w:rsidRPr="00387859" w:rsidRDefault="00FA7F42" w:rsidP="00FA7F42">
      <w:pPr>
        <w:numPr>
          <w:ilvl w:val="0"/>
          <w:numId w:val="5"/>
        </w:numPr>
        <w:spacing w:line="360" w:lineRule="auto"/>
        <w:rPr>
          <w:rFonts w:eastAsia="標楷體"/>
        </w:rPr>
      </w:pPr>
      <w:r w:rsidRPr="00387859">
        <w:rPr>
          <w:rFonts w:eastAsia="標楷體"/>
        </w:rPr>
        <w:t>投稿人請依下列規定提交摘要：</w:t>
      </w:r>
    </w:p>
    <w:p w:rsidR="00FA7F42" w:rsidRPr="00387859" w:rsidRDefault="00FA7F42" w:rsidP="00FA7F42">
      <w:pPr>
        <w:numPr>
          <w:ilvl w:val="0"/>
          <w:numId w:val="4"/>
        </w:numPr>
        <w:spacing w:line="360" w:lineRule="auto"/>
        <w:rPr>
          <w:rFonts w:eastAsia="標楷體"/>
        </w:rPr>
      </w:pPr>
      <w:r w:rsidRPr="00387859">
        <w:rPr>
          <w:rFonts w:eastAsia="標楷體"/>
        </w:rPr>
        <w:t>時間：</w:t>
      </w:r>
      <w:r w:rsidRPr="00387859">
        <w:rPr>
          <w:rFonts w:eastAsia="標楷體"/>
        </w:rPr>
        <w:t>2017</w:t>
      </w:r>
      <w:r w:rsidRPr="00387859">
        <w:rPr>
          <w:rFonts w:eastAsia="標楷體"/>
        </w:rPr>
        <w:t>年</w:t>
      </w:r>
      <w:r w:rsidRPr="00387859">
        <w:rPr>
          <w:rFonts w:eastAsia="標楷體"/>
        </w:rPr>
        <w:t>7</w:t>
      </w:r>
      <w:r w:rsidRPr="00387859">
        <w:rPr>
          <w:rFonts w:eastAsia="標楷體"/>
        </w:rPr>
        <w:t>月</w:t>
      </w:r>
      <w:r w:rsidRPr="00387859">
        <w:rPr>
          <w:rFonts w:eastAsia="標楷體"/>
        </w:rPr>
        <w:t>15</w:t>
      </w:r>
      <w:r w:rsidRPr="00387859">
        <w:rPr>
          <w:rFonts w:eastAsia="標楷體"/>
        </w:rPr>
        <w:t>日前</w:t>
      </w:r>
      <w:r>
        <w:rPr>
          <w:rFonts w:eastAsia="標楷體" w:hint="eastAsia"/>
        </w:rPr>
        <w:t>。</w:t>
      </w:r>
    </w:p>
    <w:p w:rsidR="00FA7F42" w:rsidRPr="00387859" w:rsidRDefault="00FA7F42" w:rsidP="00FA7F42">
      <w:pPr>
        <w:numPr>
          <w:ilvl w:val="0"/>
          <w:numId w:val="4"/>
        </w:numPr>
        <w:spacing w:line="360" w:lineRule="auto"/>
        <w:rPr>
          <w:rFonts w:eastAsia="標楷體"/>
        </w:rPr>
      </w:pPr>
      <w:r w:rsidRPr="00387859">
        <w:rPr>
          <w:rFonts w:eastAsia="標楷體"/>
        </w:rPr>
        <w:t>方式：</w:t>
      </w:r>
      <w:r w:rsidRPr="00AA3806">
        <w:rPr>
          <w:rFonts w:eastAsia="標楷體" w:hint="eastAsia"/>
        </w:rPr>
        <w:t>論文投稿者在投稿系統線上遞交稿件（線上投稿網址：</w:t>
      </w:r>
      <w:hyperlink r:id="rId7" w:tgtFrame="blank" w:history="1">
        <w:r w:rsidRPr="00AA3806">
          <w:rPr>
            <w:rFonts w:eastAsia="標楷體"/>
          </w:rPr>
          <w:t>https://goo.gl/forms/omIMOuBmMpzI09iG3</w:t>
        </w:r>
      </w:hyperlink>
      <w:r w:rsidRPr="00AA3806">
        <w:rPr>
          <w:rFonts w:eastAsia="標楷體" w:hint="eastAsia"/>
        </w:rPr>
        <w:t>）。</w:t>
      </w:r>
      <w:r w:rsidRPr="00387859">
        <w:rPr>
          <w:rFonts w:eastAsia="標楷體"/>
        </w:rPr>
        <w:t>。</w:t>
      </w:r>
    </w:p>
    <w:p w:rsidR="00FA7F42" w:rsidRPr="00387859" w:rsidRDefault="00FA7F42" w:rsidP="00FA7F42">
      <w:pPr>
        <w:numPr>
          <w:ilvl w:val="0"/>
          <w:numId w:val="4"/>
        </w:numPr>
        <w:spacing w:line="360" w:lineRule="auto"/>
        <w:rPr>
          <w:rFonts w:eastAsia="標楷體"/>
        </w:rPr>
      </w:pPr>
      <w:r w:rsidRPr="00387859">
        <w:rPr>
          <w:rFonts w:eastAsia="標楷體"/>
        </w:rPr>
        <w:t>內容應包括：</w:t>
      </w:r>
    </w:p>
    <w:p w:rsidR="00FA7F42" w:rsidRPr="00387859" w:rsidRDefault="00FA7F42" w:rsidP="00FA7F42">
      <w:pPr>
        <w:numPr>
          <w:ilvl w:val="0"/>
          <w:numId w:val="6"/>
        </w:numPr>
        <w:spacing w:line="360" w:lineRule="auto"/>
        <w:rPr>
          <w:rFonts w:eastAsia="標楷體"/>
        </w:rPr>
      </w:pPr>
      <w:r w:rsidRPr="00387859">
        <w:rPr>
          <w:rFonts w:eastAsia="標楷體"/>
        </w:rPr>
        <w:t>論文題目</w:t>
      </w:r>
      <w:r w:rsidRPr="00387859">
        <w:rPr>
          <w:rFonts w:eastAsia="標楷體"/>
          <w:spacing w:val="20"/>
        </w:rPr>
        <w:t>（中英文）</w:t>
      </w:r>
    </w:p>
    <w:p w:rsidR="00FA7F42" w:rsidRPr="00387859" w:rsidRDefault="00FA7F42" w:rsidP="00FA7F42">
      <w:pPr>
        <w:numPr>
          <w:ilvl w:val="0"/>
          <w:numId w:val="6"/>
        </w:numPr>
        <w:spacing w:line="360" w:lineRule="auto"/>
        <w:rPr>
          <w:rFonts w:eastAsia="標楷體"/>
        </w:rPr>
      </w:pPr>
      <w:r w:rsidRPr="00387859">
        <w:rPr>
          <w:rFonts w:eastAsia="標楷體"/>
          <w:spacing w:val="20"/>
        </w:rPr>
        <w:t>作者姓名（中英文）</w:t>
      </w:r>
    </w:p>
    <w:p w:rsidR="00FA7F42" w:rsidRPr="00387859" w:rsidRDefault="00FA7F42" w:rsidP="00FA7F42">
      <w:pPr>
        <w:numPr>
          <w:ilvl w:val="0"/>
          <w:numId w:val="6"/>
        </w:numPr>
        <w:spacing w:line="360" w:lineRule="auto"/>
        <w:rPr>
          <w:rFonts w:eastAsia="標楷體"/>
        </w:rPr>
      </w:pPr>
      <w:r w:rsidRPr="00387859">
        <w:rPr>
          <w:rFonts w:eastAsia="標楷體"/>
          <w:spacing w:val="20"/>
        </w:rPr>
        <w:t>作者服務單位職稱與電子郵件信箱</w:t>
      </w:r>
    </w:p>
    <w:p w:rsidR="00FA7F42" w:rsidRPr="00387859" w:rsidRDefault="00FA7F42" w:rsidP="00FA7F42">
      <w:pPr>
        <w:numPr>
          <w:ilvl w:val="0"/>
          <w:numId w:val="6"/>
        </w:numPr>
        <w:spacing w:line="360" w:lineRule="auto"/>
        <w:rPr>
          <w:rFonts w:eastAsia="標楷體"/>
        </w:rPr>
      </w:pPr>
      <w:r w:rsidRPr="00387859">
        <w:rPr>
          <w:rFonts w:eastAsia="標楷體"/>
          <w:spacing w:val="20"/>
        </w:rPr>
        <w:t>摘要</w:t>
      </w:r>
    </w:p>
    <w:p w:rsidR="00FA7F42" w:rsidRPr="00387859" w:rsidRDefault="00FA7F42" w:rsidP="00FA7F42">
      <w:pPr>
        <w:numPr>
          <w:ilvl w:val="0"/>
          <w:numId w:val="6"/>
        </w:numPr>
        <w:spacing w:line="360" w:lineRule="auto"/>
        <w:rPr>
          <w:rFonts w:eastAsia="標楷體"/>
        </w:rPr>
      </w:pPr>
      <w:r w:rsidRPr="00387859">
        <w:rPr>
          <w:rFonts w:eastAsia="標楷體"/>
          <w:spacing w:val="20"/>
        </w:rPr>
        <w:t>關鍵詞（</w:t>
      </w:r>
      <w:r w:rsidRPr="00387859">
        <w:rPr>
          <w:rFonts w:eastAsia="標楷體"/>
          <w:spacing w:val="20"/>
        </w:rPr>
        <w:t>5</w:t>
      </w:r>
      <w:r w:rsidRPr="00387859">
        <w:rPr>
          <w:rFonts w:eastAsia="標楷體"/>
          <w:spacing w:val="20"/>
        </w:rPr>
        <w:t>個以內）</w:t>
      </w:r>
    </w:p>
    <w:p w:rsidR="00FA7F42" w:rsidRPr="00387859" w:rsidRDefault="00FA7F42" w:rsidP="00FA7F42">
      <w:pPr>
        <w:numPr>
          <w:ilvl w:val="0"/>
          <w:numId w:val="4"/>
        </w:numPr>
        <w:spacing w:line="360" w:lineRule="auto"/>
        <w:rPr>
          <w:rFonts w:eastAsia="標楷體"/>
          <w:lang w:val="sv-SE"/>
        </w:rPr>
      </w:pPr>
      <w:r w:rsidRPr="00387859">
        <w:rPr>
          <w:rFonts w:eastAsia="標楷體"/>
          <w:spacing w:val="20"/>
        </w:rPr>
        <w:t>格式</w:t>
      </w:r>
      <w:r w:rsidRPr="00387859">
        <w:rPr>
          <w:rFonts w:eastAsia="標楷體"/>
          <w:spacing w:val="20"/>
          <w:lang w:val="sv-SE"/>
        </w:rPr>
        <w:t>：請依本研討會之論文摘要格式填寫</w:t>
      </w:r>
      <w:r w:rsidRPr="00387859">
        <w:rPr>
          <w:rFonts w:eastAsia="標楷體"/>
          <w:spacing w:val="20"/>
        </w:rPr>
        <w:t>。</w:t>
      </w:r>
    </w:p>
    <w:p w:rsidR="00FA7F42" w:rsidRPr="00387859" w:rsidRDefault="00FA7F42" w:rsidP="00FA7F42">
      <w:pPr>
        <w:numPr>
          <w:ilvl w:val="0"/>
          <w:numId w:val="4"/>
        </w:numPr>
        <w:spacing w:line="360" w:lineRule="auto"/>
        <w:rPr>
          <w:rFonts w:eastAsia="標楷體"/>
          <w:lang w:val="sv-SE"/>
        </w:rPr>
      </w:pPr>
      <w:r w:rsidRPr="00387859">
        <w:rPr>
          <w:rFonts w:eastAsia="標楷體"/>
          <w:spacing w:val="20"/>
        </w:rPr>
        <w:t>不依規定投稿者，不予受理。</w:t>
      </w:r>
    </w:p>
    <w:p w:rsidR="00FA7F42" w:rsidRPr="007E2728" w:rsidRDefault="00FA7F42" w:rsidP="00FA7F42">
      <w:pPr>
        <w:numPr>
          <w:ilvl w:val="0"/>
          <w:numId w:val="5"/>
        </w:numPr>
        <w:spacing w:line="360" w:lineRule="auto"/>
        <w:rPr>
          <w:rFonts w:eastAsia="標楷體"/>
          <w:lang w:val="sv-SE"/>
        </w:rPr>
      </w:pPr>
      <w:r w:rsidRPr="00387859">
        <w:rPr>
          <w:rFonts w:eastAsia="標楷體"/>
        </w:rPr>
        <w:t>「摘要」經審查通過後，</w:t>
      </w:r>
      <w:r w:rsidRPr="00387859">
        <w:rPr>
          <w:rFonts w:eastAsia="標楷體"/>
        </w:rPr>
        <w:t>8</w:t>
      </w:r>
      <w:r w:rsidRPr="00387859">
        <w:rPr>
          <w:rFonts w:eastAsia="標楷體"/>
        </w:rPr>
        <w:t>月</w:t>
      </w:r>
      <w:r w:rsidRPr="00387859">
        <w:rPr>
          <w:rFonts w:eastAsia="標楷體"/>
        </w:rPr>
        <w:t>7</w:t>
      </w:r>
      <w:r w:rsidRPr="00387859">
        <w:rPr>
          <w:rFonts w:eastAsia="標楷體"/>
        </w:rPr>
        <w:t>日前寄發錄取通知，錄取者需於</w:t>
      </w:r>
      <w:r w:rsidRPr="00387859">
        <w:rPr>
          <w:rFonts w:eastAsia="標楷體"/>
        </w:rPr>
        <w:t>2017</w:t>
      </w:r>
      <w:r w:rsidRPr="00387859">
        <w:rPr>
          <w:rFonts w:eastAsia="標楷體"/>
        </w:rPr>
        <w:t>年</w:t>
      </w:r>
      <w:r w:rsidRPr="00387859">
        <w:rPr>
          <w:rFonts w:eastAsia="標楷體"/>
        </w:rPr>
        <w:t>10</w:t>
      </w:r>
      <w:r w:rsidRPr="00387859">
        <w:rPr>
          <w:rFonts w:eastAsia="標楷體"/>
        </w:rPr>
        <w:t>月</w:t>
      </w:r>
      <w:r w:rsidRPr="00387859">
        <w:rPr>
          <w:rFonts w:eastAsia="標楷體"/>
        </w:rPr>
        <w:t>19-20</w:t>
      </w:r>
      <w:r w:rsidRPr="00387859">
        <w:rPr>
          <w:rFonts w:eastAsia="標楷體"/>
        </w:rPr>
        <w:t>日於舉辦之研討會發表。</w:t>
      </w:r>
    </w:p>
    <w:p w:rsidR="00FA7F42" w:rsidRPr="00370648" w:rsidRDefault="00FA7F42" w:rsidP="00FA7F42">
      <w:pPr>
        <w:numPr>
          <w:ilvl w:val="0"/>
          <w:numId w:val="5"/>
        </w:numPr>
        <w:spacing w:line="360" w:lineRule="auto"/>
        <w:rPr>
          <w:rFonts w:eastAsia="標楷體"/>
        </w:rPr>
      </w:pPr>
      <w:r w:rsidRPr="00370648">
        <w:rPr>
          <w:rFonts w:eastAsia="標楷體" w:hint="eastAsia"/>
        </w:rPr>
        <w:t>研討會後，</w:t>
      </w:r>
      <w:r>
        <w:rPr>
          <w:rFonts w:eastAsia="標楷體" w:hint="eastAsia"/>
        </w:rPr>
        <w:t>可提交論文全文</w:t>
      </w:r>
      <w:r>
        <w:rPr>
          <w:rFonts w:ascii="新細明體" w:hAnsi="新細明體" w:hint="eastAsia"/>
        </w:rPr>
        <w:t>，</w:t>
      </w:r>
      <w:r w:rsidRPr="00370648">
        <w:rPr>
          <w:rFonts w:eastAsia="標楷體" w:hint="eastAsia"/>
        </w:rPr>
        <w:t>本研討會將依投稿者意願，將論文推薦至《科技博物》（該期刊為博物館領域專業季刊，由國立科學工藝博物館發行），經學術審查通過後發表刊登於《科技博物》。</w:t>
      </w:r>
    </w:p>
    <w:p w:rsidR="00FA7F42" w:rsidRDefault="00FA7F42" w:rsidP="00FA7F42">
      <w:pPr>
        <w:numPr>
          <w:ilvl w:val="0"/>
          <w:numId w:val="1"/>
        </w:numPr>
        <w:spacing w:beforeLines="150" w:before="360" w:line="360" w:lineRule="auto"/>
        <w:ind w:left="482" w:hanging="482"/>
        <w:jc w:val="both"/>
        <w:rPr>
          <w:rFonts w:eastAsia="標楷體" w:hAnsi="標楷體"/>
          <w:b/>
          <w:sz w:val="28"/>
          <w:szCs w:val="28"/>
        </w:rPr>
      </w:pPr>
      <w:r>
        <w:rPr>
          <w:rFonts w:eastAsia="標楷體" w:hAnsi="標楷體" w:hint="eastAsia"/>
          <w:b/>
          <w:sz w:val="28"/>
          <w:szCs w:val="28"/>
        </w:rPr>
        <w:t>研討會網站與聯絡人</w:t>
      </w:r>
    </w:p>
    <w:p w:rsidR="00FA7F42" w:rsidRPr="00661BF8" w:rsidRDefault="00FA7F42" w:rsidP="00FA7F42">
      <w:pPr>
        <w:numPr>
          <w:ilvl w:val="0"/>
          <w:numId w:val="3"/>
        </w:numPr>
        <w:spacing w:line="360" w:lineRule="auto"/>
        <w:rPr>
          <w:rFonts w:eastAsia="標楷體"/>
        </w:rPr>
      </w:pPr>
      <w:r>
        <w:rPr>
          <w:rFonts w:eastAsia="標楷體" w:hint="eastAsia"/>
        </w:rPr>
        <w:t>更多訊息請瀏覽本研討</w:t>
      </w:r>
      <w:r w:rsidRPr="00196291">
        <w:rPr>
          <w:rFonts w:eastAsia="標楷體" w:hint="eastAsia"/>
        </w:rPr>
        <w:t>會網站</w:t>
      </w:r>
      <w:r>
        <w:rPr>
          <w:rFonts w:ascii="新細明體" w:hAnsi="新細明體" w:hint="eastAsia"/>
        </w:rPr>
        <w:t>：</w:t>
      </w:r>
      <w:hyperlink r:id="rId8" w:history="1">
        <w:r w:rsidRPr="00124E40">
          <w:rPr>
            <w:rStyle w:val="a5"/>
            <w:rFonts w:eastAsia="標楷體"/>
          </w:rPr>
          <w:t>http://museum-conference.nstm.gov.tw/2017/HomeStyle.aspx?spage=request</w:t>
        </w:r>
      </w:hyperlink>
    </w:p>
    <w:p w:rsidR="00FA7F42" w:rsidRPr="00196291" w:rsidRDefault="00FA7F42" w:rsidP="00FA7F42">
      <w:pPr>
        <w:spacing w:line="360" w:lineRule="auto"/>
        <w:ind w:left="720"/>
        <w:rPr>
          <w:rFonts w:eastAsia="標楷體"/>
        </w:rPr>
      </w:pPr>
    </w:p>
    <w:p w:rsidR="00FA7F42" w:rsidRDefault="00FA7F42" w:rsidP="00FA7F42">
      <w:pPr>
        <w:numPr>
          <w:ilvl w:val="0"/>
          <w:numId w:val="3"/>
        </w:numPr>
        <w:spacing w:line="360" w:lineRule="auto"/>
        <w:rPr>
          <w:rFonts w:eastAsia="標楷體"/>
        </w:rPr>
      </w:pPr>
      <w:r w:rsidRPr="00165769">
        <w:rPr>
          <w:rFonts w:eastAsia="標楷體" w:hint="eastAsia"/>
        </w:rPr>
        <w:t>聯絡人：</w:t>
      </w:r>
    </w:p>
    <w:p w:rsidR="00FA7F42" w:rsidRPr="00AA3806" w:rsidRDefault="00FA7F42" w:rsidP="00FA7F42">
      <w:pPr>
        <w:spacing w:line="360" w:lineRule="auto"/>
        <w:ind w:left="720"/>
        <w:rPr>
          <w:rFonts w:eastAsia="標楷體"/>
        </w:rPr>
      </w:pPr>
      <w:r w:rsidRPr="00AA3806">
        <w:rPr>
          <w:rFonts w:eastAsia="標楷體" w:hint="eastAsia"/>
        </w:rPr>
        <w:t>顏上晴副教授（國立臺南藝術大學博物館學與古物維護研究所），</w:t>
      </w:r>
      <w:r w:rsidRPr="00AA3806">
        <w:rPr>
          <w:rFonts w:eastAsia="標楷體"/>
        </w:rPr>
        <w:t xml:space="preserve"> </w:t>
      </w:r>
      <w:r w:rsidRPr="00AA3806">
        <w:rPr>
          <w:rFonts w:eastAsia="標楷體"/>
        </w:rPr>
        <w:br/>
        <w:t>06-6930100-2648</w:t>
      </w:r>
      <w:r w:rsidRPr="00AA3806">
        <w:rPr>
          <w:rFonts w:eastAsia="標楷體" w:hint="eastAsia"/>
        </w:rPr>
        <w:t>，</w:t>
      </w:r>
      <w:hyperlink r:id="rId9" w:history="1">
        <w:r w:rsidRPr="00AA3806">
          <w:rPr>
            <w:rFonts w:eastAsia="標楷體"/>
          </w:rPr>
          <w:t>sanching@tnnua.edu.tw</w:t>
        </w:r>
      </w:hyperlink>
    </w:p>
    <w:p w:rsidR="00FA7F42" w:rsidRPr="00AA3806" w:rsidRDefault="00FA7F42" w:rsidP="00FA7F42">
      <w:pPr>
        <w:spacing w:line="360" w:lineRule="auto"/>
        <w:ind w:left="720"/>
        <w:rPr>
          <w:rFonts w:eastAsia="標楷體"/>
        </w:rPr>
      </w:pPr>
      <w:r w:rsidRPr="00AA3806">
        <w:rPr>
          <w:rFonts w:eastAsia="標楷體" w:hint="eastAsia"/>
        </w:rPr>
        <w:t>蕭國鴻副研究員（國立科學工藝博物館蒐藏研究組），</w:t>
      </w:r>
      <w:r w:rsidRPr="00AA3806">
        <w:rPr>
          <w:rFonts w:eastAsia="標楷體"/>
        </w:rPr>
        <w:br/>
        <w:t>07-3800089-5308</w:t>
      </w:r>
      <w:r w:rsidRPr="00AA3806">
        <w:rPr>
          <w:rFonts w:eastAsia="標楷體" w:hint="eastAsia"/>
        </w:rPr>
        <w:t>，</w:t>
      </w:r>
      <w:hyperlink r:id="rId10" w:history="1">
        <w:r w:rsidRPr="00AA3806">
          <w:rPr>
            <w:rFonts w:eastAsia="標楷體"/>
          </w:rPr>
          <w:t>khhsiao@mail.nstm.gov.tw</w:t>
        </w:r>
      </w:hyperlink>
    </w:p>
    <w:p w:rsidR="00E56AF1" w:rsidRPr="00FA7F42" w:rsidRDefault="00E56AF1"/>
    <w:sectPr w:rsidR="00E56AF1" w:rsidRPr="00FA7F42" w:rsidSect="00980BEE">
      <w:footerReference w:type="even" r:id="rId11"/>
      <w:footerReference w:type="default" r:id="rId12"/>
      <w:endnotePr>
        <w:numFmt w:val="decimal"/>
      </w:endnotePr>
      <w:pgSz w:w="12240" w:h="15840" w:code="1"/>
      <w:pgMar w:top="1021" w:right="1440" w:bottom="1021" w:left="1440" w:header="851"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741" w:rsidRDefault="00AB2741" w:rsidP="00FA7F42">
      <w:r>
        <w:separator/>
      </w:r>
    </w:p>
  </w:endnote>
  <w:endnote w:type="continuationSeparator" w:id="0">
    <w:p w:rsidR="00AB2741" w:rsidRDefault="00AB2741" w:rsidP="00FA7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A21" w:rsidRDefault="00AB2741" w:rsidP="008D0BB6">
    <w:pPr>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2A21" w:rsidRDefault="00620D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152786"/>
      <w:docPartObj>
        <w:docPartGallery w:val="Page Numbers (Bottom of Page)"/>
        <w:docPartUnique/>
      </w:docPartObj>
    </w:sdtPr>
    <w:sdtEndPr/>
    <w:sdtContent>
      <w:p w:rsidR="004853E4" w:rsidRDefault="00AB2741">
        <w:pPr>
          <w:pStyle w:val="a3"/>
          <w:jc w:val="center"/>
        </w:pPr>
        <w:r>
          <w:fldChar w:fldCharType="begin"/>
        </w:r>
        <w:r>
          <w:instrText>PAGE   \* MERGEFORMAT</w:instrText>
        </w:r>
        <w:r>
          <w:fldChar w:fldCharType="separate"/>
        </w:r>
        <w:r w:rsidR="00620DD3" w:rsidRPr="00620DD3">
          <w:rPr>
            <w:noProof/>
            <w:lang w:val="zh-TW"/>
          </w:rPr>
          <w:t>2</w:t>
        </w:r>
        <w:r>
          <w:fldChar w:fldCharType="end"/>
        </w:r>
      </w:p>
    </w:sdtContent>
  </w:sdt>
  <w:p w:rsidR="000C2A21" w:rsidRDefault="00620D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741" w:rsidRDefault="00AB2741" w:rsidP="00FA7F42">
      <w:r>
        <w:separator/>
      </w:r>
    </w:p>
  </w:footnote>
  <w:footnote w:type="continuationSeparator" w:id="0">
    <w:p w:rsidR="00AB2741" w:rsidRDefault="00AB2741" w:rsidP="00FA7F42">
      <w:r>
        <w:continuationSeparator/>
      </w:r>
    </w:p>
  </w:footnote>
  <w:footnote w:id="1">
    <w:p w:rsidR="00FA7F42" w:rsidRDefault="00FA7F42" w:rsidP="00FA7F42">
      <w:pPr>
        <w:pStyle w:val="a6"/>
      </w:pPr>
      <w:r>
        <w:rPr>
          <w:rStyle w:val="a8"/>
        </w:rPr>
        <w:footnoteRef/>
      </w:r>
      <w:r w:rsidRPr="009E3483">
        <w:rPr>
          <w:rFonts w:eastAsia="標楷體" w:hAnsi="標楷體" w:hint="eastAsia"/>
        </w:rPr>
        <w:t>為執行博物館評鑑與認證，文化部於同年</w:t>
      </w:r>
      <w:r w:rsidRPr="009E3483">
        <w:rPr>
          <w:rFonts w:eastAsia="標楷體" w:hAnsi="標楷體" w:hint="eastAsia"/>
        </w:rPr>
        <w:t>12</w:t>
      </w:r>
      <w:r w:rsidRPr="009E3483">
        <w:rPr>
          <w:rFonts w:eastAsia="標楷體" w:hAnsi="標楷體" w:hint="eastAsia"/>
        </w:rPr>
        <w:t>月</w:t>
      </w:r>
      <w:r w:rsidRPr="009E3483">
        <w:rPr>
          <w:rFonts w:eastAsia="標楷體" w:hAnsi="標楷體" w:hint="eastAsia"/>
        </w:rPr>
        <w:t>31</w:t>
      </w:r>
      <w:r w:rsidRPr="009E3483">
        <w:rPr>
          <w:rFonts w:eastAsia="標楷體" w:hAnsi="標楷體" w:hint="eastAsia"/>
        </w:rPr>
        <w:t>日公布「</w:t>
      </w:r>
      <w:r w:rsidRPr="00B7448E">
        <w:rPr>
          <w:rFonts w:eastAsia="標楷體" w:hAnsi="標楷體"/>
        </w:rPr>
        <w:t>博物館評鑑及認證辦法</w:t>
      </w:r>
      <w:r w:rsidRPr="009E3483">
        <w:rPr>
          <w:rFonts w:eastAsia="標楷體" w:hAnsi="標楷體"/>
        </w:rPr>
        <w:t> </w:t>
      </w:r>
      <w:r w:rsidRPr="009E3483">
        <w:rPr>
          <w:rFonts w:eastAsia="標楷體" w:hAnsi="標楷體" w:hint="eastAsia"/>
        </w:rPr>
        <w:t>」，對於評鑑與認證的申請、執行、審查、項目與指標等訂出規範。</w:t>
      </w:r>
      <w:r>
        <w:rPr>
          <w:rFonts w:eastAsia="標楷體" w:hAnsi="標楷體" w:hint="eastAsia"/>
        </w:rPr>
        <w:t>文化部已研擬實施計畫草案</w:t>
      </w:r>
      <w:r>
        <w:rPr>
          <w:rFonts w:ascii="新細明體" w:hAnsi="新細明體" w:hint="eastAsia"/>
        </w:rPr>
        <w:t>，</w:t>
      </w:r>
      <w:r>
        <w:rPr>
          <w:rFonts w:eastAsia="標楷體" w:hAnsi="標楷體" w:hint="eastAsia"/>
        </w:rPr>
        <w:t>並於</w:t>
      </w:r>
      <w:r>
        <w:rPr>
          <w:rFonts w:eastAsia="標楷體" w:hAnsi="標楷體" w:hint="eastAsia"/>
        </w:rPr>
        <w:t>105</w:t>
      </w:r>
      <w:r>
        <w:rPr>
          <w:rFonts w:eastAsia="標楷體" w:hAnsi="標楷體" w:hint="eastAsia"/>
        </w:rPr>
        <w:t>年起以兩年時程開始試辦。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97496"/>
    <w:multiLevelType w:val="hybridMultilevel"/>
    <w:tmpl w:val="DF9E66E4"/>
    <w:lvl w:ilvl="0" w:tplc="779622A8">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9EA3951"/>
    <w:multiLevelType w:val="hybridMultilevel"/>
    <w:tmpl w:val="2D627BBE"/>
    <w:lvl w:ilvl="0" w:tplc="4B960B2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07766B8"/>
    <w:multiLevelType w:val="hybridMultilevel"/>
    <w:tmpl w:val="AF0C12F8"/>
    <w:lvl w:ilvl="0" w:tplc="2130A880">
      <w:start w:val="1"/>
      <w:numFmt w:val="taiwaneseCountingThousand"/>
      <w:lvlText w:val="%1、"/>
      <w:lvlJc w:val="left"/>
      <w:pPr>
        <w:tabs>
          <w:tab w:val="num" w:pos="480"/>
        </w:tabs>
        <w:ind w:left="480" w:hanging="480"/>
      </w:pPr>
      <w:rPr>
        <w:rFonts w:hint="default"/>
        <w:b/>
        <w:sz w:val="28"/>
        <w:szCs w:val="28"/>
      </w:rPr>
    </w:lvl>
    <w:lvl w:ilvl="1" w:tplc="07D82920">
      <w:start w:val="1"/>
      <w:numFmt w:val="taiwaneseCountingThousand"/>
      <w:lvlText w:val="（%2）"/>
      <w:lvlJc w:val="left"/>
      <w:pPr>
        <w:tabs>
          <w:tab w:val="num" w:pos="1740"/>
        </w:tabs>
        <w:ind w:left="1740" w:hanging="12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5112FA0"/>
    <w:multiLevelType w:val="hybridMultilevel"/>
    <w:tmpl w:val="7CB6BFEC"/>
    <w:lvl w:ilvl="0" w:tplc="04090001">
      <w:start w:val="1"/>
      <w:numFmt w:val="bullet"/>
      <w:lvlText w:val=""/>
      <w:lvlJc w:val="left"/>
      <w:pPr>
        <w:ind w:left="1050" w:hanging="480"/>
      </w:pPr>
      <w:rPr>
        <w:rFonts w:ascii="Wingdings" w:hAnsi="Wingdings" w:hint="default"/>
      </w:rPr>
    </w:lvl>
    <w:lvl w:ilvl="1" w:tplc="04090003" w:tentative="1">
      <w:start w:val="1"/>
      <w:numFmt w:val="bullet"/>
      <w:lvlText w:val=""/>
      <w:lvlJc w:val="left"/>
      <w:pPr>
        <w:ind w:left="1530" w:hanging="480"/>
      </w:pPr>
      <w:rPr>
        <w:rFonts w:ascii="Wingdings" w:hAnsi="Wingdings" w:hint="default"/>
      </w:rPr>
    </w:lvl>
    <w:lvl w:ilvl="2" w:tplc="04090005" w:tentative="1">
      <w:start w:val="1"/>
      <w:numFmt w:val="bullet"/>
      <w:lvlText w:val=""/>
      <w:lvlJc w:val="left"/>
      <w:pPr>
        <w:ind w:left="2010" w:hanging="480"/>
      </w:pPr>
      <w:rPr>
        <w:rFonts w:ascii="Wingdings" w:hAnsi="Wingdings" w:hint="default"/>
      </w:rPr>
    </w:lvl>
    <w:lvl w:ilvl="3" w:tplc="04090001" w:tentative="1">
      <w:start w:val="1"/>
      <w:numFmt w:val="bullet"/>
      <w:lvlText w:val=""/>
      <w:lvlJc w:val="left"/>
      <w:pPr>
        <w:ind w:left="2490" w:hanging="480"/>
      </w:pPr>
      <w:rPr>
        <w:rFonts w:ascii="Wingdings" w:hAnsi="Wingdings" w:hint="default"/>
      </w:rPr>
    </w:lvl>
    <w:lvl w:ilvl="4" w:tplc="04090003" w:tentative="1">
      <w:start w:val="1"/>
      <w:numFmt w:val="bullet"/>
      <w:lvlText w:val=""/>
      <w:lvlJc w:val="left"/>
      <w:pPr>
        <w:ind w:left="2970" w:hanging="480"/>
      </w:pPr>
      <w:rPr>
        <w:rFonts w:ascii="Wingdings" w:hAnsi="Wingdings" w:hint="default"/>
      </w:rPr>
    </w:lvl>
    <w:lvl w:ilvl="5" w:tplc="04090005" w:tentative="1">
      <w:start w:val="1"/>
      <w:numFmt w:val="bullet"/>
      <w:lvlText w:val=""/>
      <w:lvlJc w:val="left"/>
      <w:pPr>
        <w:ind w:left="3450" w:hanging="480"/>
      </w:pPr>
      <w:rPr>
        <w:rFonts w:ascii="Wingdings" w:hAnsi="Wingdings" w:hint="default"/>
      </w:rPr>
    </w:lvl>
    <w:lvl w:ilvl="6" w:tplc="04090001" w:tentative="1">
      <w:start w:val="1"/>
      <w:numFmt w:val="bullet"/>
      <w:lvlText w:val=""/>
      <w:lvlJc w:val="left"/>
      <w:pPr>
        <w:ind w:left="3930" w:hanging="480"/>
      </w:pPr>
      <w:rPr>
        <w:rFonts w:ascii="Wingdings" w:hAnsi="Wingdings" w:hint="default"/>
      </w:rPr>
    </w:lvl>
    <w:lvl w:ilvl="7" w:tplc="04090003" w:tentative="1">
      <w:start w:val="1"/>
      <w:numFmt w:val="bullet"/>
      <w:lvlText w:val=""/>
      <w:lvlJc w:val="left"/>
      <w:pPr>
        <w:ind w:left="4410" w:hanging="480"/>
      </w:pPr>
      <w:rPr>
        <w:rFonts w:ascii="Wingdings" w:hAnsi="Wingdings" w:hint="default"/>
      </w:rPr>
    </w:lvl>
    <w:lvl w:ilvl="8" w:tplc="04090005" w:tentative="1">
      <w:start w:val="1"/>
      <w:numFmt w:val="bullet"/>
      <w:lvlText w:val=""/>
      <w:lvlJc w:val="left"/>
      <w:pPr>
        <w:ind w:left="4890" w:hanging="480"/>
      </w:pPr>
      <w:rPr>
        <w:rFonts w:ascii="Wingdings" w:hAnsi="Wingdings" w:hint="default"/>
      </w:rPr>
    </w:lvl>
  </w:abstractNum>
  <w:abstractNum w:abstractNumId="4">
    <w:nsid w:val="5AFD70E1"/>
    <w:multiLevelType w:val="hybridMultilevel"/>
    <w:tmpl w:val="50066DEA"/>
    <w:lvl w:ilvl="0" w:tplc="04090001">
      <w:start w:val="1"/>
      <w:numFmt w:val="bullet"/>
      <w:lvlText w:val=""/>
      <w:lvlJc w:val="left"/>
      <w:pPr>
        <w:ind w:left="2100" w:hanging="480"/>
      </w:pPr>
      <w:rPr>
        <w:rFonts w:ascii="Wingdings" w:hAnsi="Wingdings" w:hint="default"/>
      </w:rPr>
    </w:lvl>
    <w:lvl w:ilvl="1" w:tplc="04090003" w:tentative="1">
      <w:start w:val="1"/>
      <w:numFmt w:val="bullet"/>
      <w:lvlText w:val=""/>
      <w:lvlJc w:val="left"/>
      <w:pPr>
        <w:ind w:left="2580" w:hanging="480"/>
      </w:pPr>
      <w:rPr>
        <w:rFonts w:ascii="Wingdings" w:hAnsi="Wingdings" w:hint="default"/>
      </w:rPr>
    </w:lvl>
    <w:lvl w:ilvl="2" w:tplc="04090005" w:tentative="1">
      <w:start w:val="1"/>
      <w:numFmt w:val="bullet"/>
      <w:lvlText w:val=""/>
      <w:lvlJc w:val="left"/>
      <w:pPr>
        <w:ind w:left="3060" w:hanging="480"/>
      </w:pPr>
      <w:rPr>
        <w:rFonts w:ascii="Wingdings" w:hAnsi="Wingdings" w:hint="default"/>
      </w:rPr>
    </w:lvl>
    <w:lvl w:ilvl="3" w:tplc="04090001" w:tentative="1">
      <w:start w:val="1"/>
      <w:numFmt w:val="bullet"/>
      <w:lvlText w:val=""/>
      <w:lvlJc w:val="left"/>
      <w:pPr>
        <w:ind w:left="3540" w:hanging="480"/>
      </w:pPr>
      <w:rPr>
        <w:rFonts w:ascii="Wingdings" w:hAnsi="Wingdings" w:hint="default"/>
      </w:rPr>
    </w:lvl>
    <w:lvl w:ilvl="4" w:tplc="04090003" w:tentative="1">
      <w:start w:val="1"/>
      <w:numFmt w:val="bullet"/>
      <w:lvlText w:val=""/>
      <w:lvlJc w:val="left"/>
      <w:pPr>
        <w:ind w:left="4020" w:hanging="480"/>
      </w:pPr>
      <w:rPr>
        <w:rFonts w:ascii="Wingdings" w:hAnsi="Wingdings" w:hint="default"/>
      </w:rPr>
    </w:lvl>
    <w:lvl w:ilvl="5" w:tplc="04090005" w:tentative="1">
      <w:start w:val="1"/>
      <w:numFmt w:val="bullet"/>
      <w:lvlText w:val=""/>
      <w:lvlJc w:val="left"/>
      <w:pPr>
        <w:ind w:left="4500" w:hanging="480"/>
      </w:pPr>
      <w:rPr>
        <w:rFonts w:ascii="Wingdings" w:hAnsi="Wingdings" w:hint="default"/>
      </w:rPr>
    </w:lvl>
    <w:lvl w:ilvl="6" w:tplc="04090001" w:tentative="1">
      <w:start w:val="1"/>
      <w:numFmt w:val="bullet"/>
      <w:lvlText w:val=""/>
      <w:lvlJc w:val="left"/>
      <w:pPr>
        <w:ind w:left="4980" w:hanging="480"/>
      </w:pPr>
      <w:rPr>
        <w:rFonts w:ascii="Wingdings" w:hAnsi="Wingdings" w:hint="default"/>
      </w:rPr>
    </w:lvl>
    <w:lvl w:ilvl="7" w:tplc="04090003" w:tentative="1">
      <w:start w:val="1"/>
      <w:numFmt w:val="bullet"/>
      <w:lvlText w:val=""/>
      <w:lvlJc w:val="left"/>
      <w:pPr>
        <w:ind w:left="5460" w:hanging="480"/>
      </w:pPr>
      <w:rPr>
        <w:rFonts w:ascii="Wingdings" w:hAnsi="Wingdings" w:hint="default"/>
      </w:rPr>
    </w:lvl>
    <w:lvl w:ilvl="8" w:tplc="04090005" w:tentative="1">
      <w:start w:val="1"/>
      <w:numFmt w:val="bullet"/>
      <w:lvlText w:val=""/>
      <w:lvlJc w:val="left"/>
      <w:pPr>
        <w:ind w:left="5940" w:hanging="480"/>
      </w:pPr>
      <w:rPr>
        <w:rFonts w:ascii="Wingdings" w:hAnsi="Wingdings" w:hint="default"/>
      </w:rPr>
    </w:lvl>
  </w:abstractNum>
  <w:abstractNum w:abstractNumId="5">
    <w:nsid w:val="76A15A88"/>
    <w:multiLevelType w:val="hybridMultilevel"/>
    <w:tmpl w:val="D108B718"/>
    <w:lvl w:ilvl="0" w:tplc="8C2258FE">
      <w:start w:val="1"/>
      <w:numFmt w:val="taiwaneseCountingThousand"/>
      <w:lvlText w:val="（%1）"/>
      <w:lvlJc w:val="left"/>
      <w:pPr>
        <w:tabs>
          <w:tab w:val="num" w:pos="1146"/>
        </w:tabs>
        <w:ind w:left="1146"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7E00EA8"/>
    <w:multiLevelType w:val="hybridMultilevel"/>
    <w:tmpl w:val="1592E4B0"/>
    <w:lvl w:ilvl="0" w:tplc="1CEA9EFE">
      <w:start w:val="1"/>
      <w:numFmt w:val="decimal"/>
      <w:lvlText w:val="（%1）"/>
      <w:lvlJc w:val="left"/>
      <w:pPr>
        <w:ind w:left="1620" w:hanging="720"/>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7">
    <w:nsid w:val="7E6B1F35"/>
    <w:multiLevelType w:val="hybridMultilevel"/>
    <w:tmpl w:val="DF0ED75C"/>
    <w:lvl w:ilvl="0" w:tplc="4B960B2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7"/>
  </w:num>
  <w:num w:numId="4">
    <w:abstractNumId w:val="6"/>
  </w:num>
  <w:num w:numId="5">
    <w:abstractNumId w:val="0"/>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F42"/>
    <w:rsid w:val="00620DD3"/>
    <w:rsid w:val="00980BEE"/>
    <w:rsid w:val="00AB2741"/>
    <w:rsid w:val="00E56AF1"/>
    <w:rsid w:val="00FA7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506861-B05D-42C3-9A50-53975A40A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F4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A7F42"/>
    <w:pPr>
      <w:tabs>
        <w:tab w:val="center" w:pos="4153"/>
        <w:tab w:val="right" w:pos="8306"/>
      </w:tabs>
      <w:snapToGrid w:val="0"/>
    </w:pPr>
    <w:rPr>
      <w:sz w:val="20"/>
      <w:szCs w:val="20"/>
    </w:rPr>
  </w:style>
  <w:style w:type="character" w:customStyle="1" w:styleId="a4">
    <w:name w:val="頁尾 字元"/>
    <w:basedOn w:val="a0"/>
    <w:link w:val="a3"/>
    <w:uiPriority w:val="99"/>
    <w:rsid w:val="00FA7F42"/>
    <w:rPr>
      <w:rFonts w:ascii="Times New Roman" w:eastAsia="新細明體" w:hAnsi="Times New Roman" w:cs="Times New Roman"/>
      <w:sz w:val="20"/>
      <w:szCs w:val="20"/>
    </w:rPr>
  </w:style>
  <w:style w:type="character" w:styleId="a5">
    <w:name w:val="Hyperlink"/>
    <w:uiPriority w:val="99"/>
    <w:rsid w:val="00FA7F42"/>
    <w:rPr>
      <w:color w:val="0000FF"/>
      <w:u w:val="single"/>
    </w:rPr>
  </w:style>
  <w:style w:type="paragraph" w:styleId="a6">
    <w:name w:val="footnote text"/>
    <w:basedOn w:val="a"/>
    <w:link w:val="a7"/>
    <w:uiPriority w:val="99"/>
    <w:semiHidden/>
    <w:rsid w:val="00FA7F42"/>
    <w:pPr>
      <w:snapToGrid w:val="0"/>
    </w:pPr>
    <w:rPr>
      <w:sz w:val="20"/>
      <w:szCs w:val="20"/>
    </w:rPr>
  </w:style>
  <w:style w:type="character" w:customStyle="1" w:styleId="a7">
    <w:name w:val="註腳文字 字元"/>
    <w:basedOn w:val="a0"/>
    <w:link w:val="a6"/>
    <w:uiPriority w:val="99"/>
    <w:semiHidden/>
    <w:rsid w:val="00FA7F42"/>
    <w:rPr>
      <w:rFonts w:ascii="Times New Roman" w:eastAsia="新細明體" w:hAnsi="Times New Roman" w:cs="Times New Roman"/>
      <w:sz w:val="20"/>
      <w:szCs w:val="20"/>
    </w:rPr>
  </w:style>
  <w:style w:type="character" w:styleId="a8">
    <w:name w:val="footnote reference"/>
    <w:uiPriority w:val="99"/>
    <w:semiHidden/>
    <w:rsid w:val="00FA7F42"/>
    <w:rPr>
      <w:vertAlign w:val="superscript"/>
    </w:rPr>
  </w:style>
  <w:style w:type="paragraph" w:styleId="a9">
    <w:name w:val="List Paragraph"/>
    <w:basedOn w:val="a"/>
    <w:uiPriority w:val="34"/>
    <w:qFormat/>
    <w:rsid w:val="00FA7F4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eum-conference.nstm.gov.tw/2017/HomeStyle.aspx?spage=reque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oo.gl/forms/omIMOuBmMpzI09iG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hhsiao@mail.nstm.gov.tw" TargetMode="External"/><Relationship Id="rId4" Type="http://schemas.openxmlformats.org/officeDocument/2006/relationships/webSettings" Target="webSettings.xml"/><Relationship Id="rId9" Type="http://schemas.openxmlformats.org/officeDocument/2006/relationships/hyperlink" Target="mailto:sanching@tnnua.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369</Words>
  <Characters>2106</Characters>
  <Application>Microsoft Office Word</Application>
  <DocSecurity>4</DocSecurity>
  <Lines>17</Lines>
  <Paragraphs>4</Paragraphs>
  <ScaleCrop>false</ScaleCrop>
  <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6139</cp:lastModifiedBy>
  <cp:revision>2</cp:revision>
  <dcterms:created xsi:type="dcterms:W3CDTF">2017-05-05T08:13:00Z</dcterms:created>
  <dcterms:modified xsi:type="dcterms:W3CDTF">2017-05-05T08:13:00Z</dcterms:modified>
</cp:coreProperties>
</file>