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805" w:rsidRPr="00D974BF" w:rsidRDefault="00AC2805" w:rsidP="00AC2805">
      <w:pPr>
        <w:spacing w:line="360" w:lineRule="auto"/>
        <w:ind w:rightChars="10" w:right="24"/>
        <w:jc w:val="center"/>
        <w:rPr>
          <w:rFonts w:eastAsia="標楷體"/>
          <w:b/>
          <w:sz w:val="32"/>
          <w:szCs w:val="32"/>
        </w:rPr>
      </w:pPr>
      <w:bookmarkStart w:id="0" w:name="_GoBack"/>
      <w:bookmarkEnd w:id="0"/>
      <w:r w:rsidRPr="00D974BF">
        <w:rPr>
          <w:rFonts w:eastAsia="標楷體"/>
          <w:b/>
          <w:sz w:val="32"/>
          <w:szCs w:val="32"/>
        </w:rPr>
        <w:t>南臺學報工程科學類徵稿暨出版實施辦法</w:t>
      </w:r>
    </w:p>
    <w:p w:rsidR="00AC2805" w:rsidRPr="00D974BF" w:rsidRDefault="00AC2805" w:rsidP="00AC2805">
      <w:pPr>
        <w:spacing w:line="240" w:lineRule="exact"/>
        <w:ind w:rightChars="10" w:right="24"/>
        <w:jc w:val="right"/>
        <w:rPr>
          <w:rFonts w:eastAsia="標楷體"/>
          <w:sz w:val="20"/>
          <w:szCs w:val="20"/>
        </w:rPr>
      </w:pPr>
      <w:r w:rsidRPr="00D974BF">
        <w:rPr>
          <w:rFonts w:eastAsia="標楷體"/>
          <w:sz w:val="20"/>
          <w:szCs w:val="20"/>
        </w:rPr>
        <w:t>民國</w:t>
      </w:r>
      <w:r w:rsidRPr="00D974BF">
        <w:rPr>
          <w:rFonts w:eastAsia="標楷體"/>
          <w:sz w:val="20"/>
          <w:szCs w:val="20"/>
        </w:rPr>
        <w:t>105</w:t>
      </w:r>
      <w:r w:rsidRPr="00D974BF">
        <w:rPr>
          <w:rFonts w:eastAsia="標楷體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3</w:t>
      </w:r>
      <w:r w:rsidRPr="00D974BF">
        <w:rPr>
          <w:rFonts w:eastAsia="標楷體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14</w:t>
      </w:r>
      <w:r w:rsidRPr="00D974BF">
        <w:rPr>
          <w:rFonts w:eastAsia="標楷體"/>
          <w:sz w:val="20"/>
          <w:szCs w:val="20"/>
        </w:rPr>
        <w:t>日行政會議通過</w:t>
      </w:r>
    </w:p>
    <w:p w:rsidR="00AC2805" w:rsidRPr="00D974BF" w:rsidRDefault="00AC2805" w:rsidP="00AC2805">
      <w:pPr>
        <w:spacing w:line="240" w:lineRule="exact"/>
        <w:ind w:rightChars="10" w:right="24"/>
        <w:jc w:val="right"/>
        <w:rPr>
          <w:rFonts w:eastAsia="標楷體"/>
          <w:sz w:val="20"/>
          <w:szCs w:val="20"/>
        </w:rPr>
      </w:pPr>
    </w:p>
    <w:p w:rsidR="00AC2805" w:rsidRPr="00D974BF" w:rsidRDefault="00AC2805" w:rsidP="00AC2805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第一條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南臺科技大學（以下簡稱本校）為促進國內外學術交流，工程科學提升學術水準，並使學報徵稿、稿件審查及學報出版作業有所依循，特訂定本辦法。</w:t>
      </w:r>
    </w:p>
    <w:p w:rsidR="00AC2805" w:rsidRPr="00D974BF" w:rsidRDefault="00AC2805" w:rsidP="00AC2805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第二條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《南臺學報工程科學類》（</w:t>
      </w:r>
      <w:r w:rsidRPr="00D974BF">
        <w:rPr>
          <w:rFonts w:eastAsia="標楷體"/>
        </w:rPr>
        <w:t>Journal of Southern Taiwan University of Science and Technology: Engineering Science Edition</w:t>
      </w:r>
      <w:r w:rsidRPr="00D974BF">
        <w:rPr>
          <w:rFonts w:eastAsia="標楷體"/>
        </w:rPr>
        <w:t>）（以下簡稱本學報）採半年刊方式，每年出版二期，分別於</w:t>
      </w:r>
      <w:r w:rsidRPr="00D974BF">
        <w:rPr>
          <w:rFonts w:eastAsia="標楷體"/>
        </w:rPr>
        <w:t>3</w:t>
      </w:r>
      <w:r w:rsidRPr="00D974BF">
        <w:rPr>
          <w:rFonts w:eastAsia="標楷體"/>
        </w:rPr>
        <w:t>月、</w:t>
      </w:r>
      <w:r w:rsidRPr="00D974BF">
        <w:rPr>
          <w:rFonts w:eastAsia="標楷體"/>
        </w:rPr>
        <w:t>9</w:t>
      </w:r>
      <w:r w:rsidRPr="00D974BF">
        <w:rPr>
          <w:rFonts w:eastAsia="標楷體"/>
        </w:rPr>
        <w:t>月出版，發行人為校長。</w:t>
      </w:r>
    </w:p>
    <w:p w:rsidR="00AC2805" w:rsidRPr="00D974BF" w:rsidRDefault="00AC2805" w:rsidP="00AC2805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第三條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本學報收錄論文之分類內容如下：</w:t>
      </w:r>
    </w:p>
    <w:p w:rsidR="00AC2805" w:rsidRPr="00D974BF" w:rsidRDefault="00AC2805" w:rsidP="00AC2805">
      <w:pPr>
        <w:numPr>
          <w:ilvl w:val="0"/>
          <w:numId w:val="1"/>
        </w:numPr>
        <w:ind w:left="1560" w:hanging="567"/>
        <w:jc w:val="both"/>
        <w:rPr>
          <w:rFonts w:eastAsia="標楷體"/>
        </w:rPr>
      </w:pPr>
      <w:r w:rsidRPr="00D974BF">
        <w:rPr>
          <w:rFonts w:eastAsia="標楷體"/>
        </w:rPr>
        <w:t>化學工程（含生物科技、燃料技術、塑膠及聚合物工程）。</w:t>
      </w:r>
    </w:p>
    <w:p w:rsidR="00AC2805" w:rsidRPr="00D974BF" w:rsidRDefault="00AC2805" w:rsidP="00AC2805">
      <w:pPr>
        <w:numPr>
          <w:ilvl w:val="0"/>
          <w:numId w:val="1"/>
        </w:numPr>
        <w:ind w:left="1560" w:hanging="567"/>
        <w:jc w:val="both"/>
        <w:rPr>
          <w:rFonts w:eastAsia="標楷體"/>
        </w:rPr>
      </w:pPr>
      <w:r w:rsidRPr="00D974BF">
        <w:rPr>
          <w:rFonts w:eastAsia="標楷體"/>
        </w:rPr>
        <w:t>電腦、資料處理、資訊技術。</w:t>
      </w:r>
    </w:p>
    <w:p w:rsidR="00AC2805" w:rsidRPr="00D974BF" w:rsidRDefault="00AC2805" w:rsidP="00AC2805">
      <w:pPr>
        <w:numPr>
          <w:ilvl w:val="0"/>
          <w:numId w:val="1"/>
        </w:numPr>
        <w:ind w:left="1560" w:hanging="567"/>
        <w:jc w:val="both"/>
        <w:rPr>
          <w:rFonts w:eastAsia="標楷體"/>
        </w:rPr>
      </w:pPr>
      <w:r w:rsidRPr="00D974BF">
        <w:rPr>
          <w:rFonts w:eastAsia="標楷體"/>
        </w:rPr>
        <w:t>電工電子（含聲學、通訊、照明工程、儀表設備及控制工程）。</w:t>
      </w:r>
    </w:p>
    <w:p w:rsidR="00AC2805" w:rsidRPr="00D974BF" w:rsidRDefault="00AC2805" w:rsidP="00AC2805">
      <w:pPr>
        <w:numPr>
          <w:ilvl w:val="0"/>
          <w:numId w:val="1"/>
        </w:numPr>
        <w:ind w:left="1560" w:hanging="567"/>
        <w:jc w:val="both"/>
        <w:rPr>
          <w:rFonts w:eastAsia="標楷體"/>
        </w:rPr>
      </w:pPr>
      <w:r w:rsidRPr="00D974BF">
        <w:rPr>
          <w:rFonts w:eastAsia="標楷體"/>
        </w:rPr>
        <w:t>工業與製造工程。</w:t>
      </w:r>
    </w:p>
    <w:p w:rsidR="00AC2805" w:rsidRPr="00D974BF" w:rsidRDefault="00AC2805" w:rsidP="00AC2805">
      <w:pPr>
        <w:numPr>
          <w:ilvl w:val="0"/>
          <w:numId w:val="1"/>
        </w:numPr>
        <w:ind w:left="1560" w:hanging="567"/>
        <w:jc w:val="both"/>
        <w:rPr>
          <w:rFonts w:eastAsia="標楷體"/>
        </w:rPr>
      </w:pPr>
      <w:r w:rsidRPr="00D974BF">
        <w:rPr>
          <w:rFonts w:eastAsia="標楷體"/>
        </w:rPr>
        <w:t>冶金和材料工程（含陶瓷、複合材料、腐蝕、焊接、採礦和石油工程）。</w:t>
      </w:r>
    </w:p>
    <w:p w:rsidR="00AC2805" w:rsidRPr="00D974BF" w:rsidRDefault="00AC2805" w:rsidP="00AC2805">
      <w:pPr>
        <w:numPr>
          <w:ilvl w:val="0"/>
          <w:numId w:val="1"/>
        </w:numPr>
        <w:ind w:left="1560" w:hanging="567"/>
        <w:jc w:val="both"/>
        <w:rPr>
          <w:rFonts w:eastAsia="標楷體"/>
        </w:rPr>
      </w:pPr>
      <w:r w:rsidRPr="00D974BF">
        <w:rPr>
          <w:rFonts w:eastAsia="標楷體"/>
        </w:rPr>
        <w:t>機械（含航空航太技術、自動化工程、低溫技術、水利學及流體力學、製造技術、海洋工程、核技術、電廠、鐵路工程、熱工和真空技術）。</w:t>
      </w:r>
    </w:p>
    <w:p w:rsidR="00AC2805" w:rsidRPr="00D974BF" w:rsidRDefault="00AC2805" w:rsidP="00AC2805">
      <w:pPr>
        <w:numPr>
          <w:ilvl w:val="0"/>
          <w:numId w:val="1"/>
        </w:numPr>
        <w:ind w:left="1560" w:hanging="567"/>
        <w:jc w:val="both"/>
        <w:rPr>
          <w:rFonts w:eastAsia="標楷體"/>
        </w:rPr>
      </w:pPr>
      <w:r w:rsidRPr="00D974BF">
        <w:rPr>
          <w:rFonts w:eastAsia="標楷體"/>
        </w:rPr>
        <w:t>工程科學相關之其他類。</w:t>
      </w:r>
    </w:p>
    <w:p w:rsidR="00AC2805" w:rsidRPr="00D974BF" w:rsidRDefault="00AC2805" w:rsidP="00AC2805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第四條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本學報僅刊載未曾在國內外其他刊物發表，且具有相當價值之學術研究論文；翻譯文章、教學講義及其他非學術性作品不予採用。</w:t>
      </w:r>
    </w:p>
    <w:p w:rsidR="00AC2805" w:rsidRPr="00D974BF" w:rsidRDefault="00AC2805" w:rsidP="00AC2805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第五條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本校設南臺學報工程科學類編輯委員會（以下簡稱編委會），負責決定本學報之編輯方針、稿件之徵集、審查及印行等有關事宜。</w:t>
      </w:r>
    </w:p>
    <w:p w:rsidR="00AC2805" w:rsidRPr="00D974BF" w:rsidRDefault="00AC2805" w:rsidP="00AC2805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第六條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編委會委員共</w:t>
      </w:r>
      <w:r w:rsidRPr="00D974BF">
        <w:rPr>
          <w:rFonts w:eastAsia="標楷體"/>
        </w:rPr>
        <w:t>9</w:t>
      </w:r>
      <w:r w:rsidRPr="00D974BF">
        <w:rPr>
          <w:rFonts w:eastAsia="標楷體"/>
        </w:rPr>
        <w:t>人：學術副校長、教務長、工學院院長及數位設計學院院長等</w:t>
      </w:r>
      <w:r w:rsidRPr="00D974BF">
        <w:rPr>
          <w:rFonts w:eastAsia="標楷體"/>
        </w:rPr>
        <w:t>4</w:t>
      </w:r>
      <w:r w:rsidRPr="00D974BF">
        <w:rPr>
          <w:rFonts w:eastAsia="標楷體"/>
        </w:rPr>
        <w:t>人為當然委員，另遴聘校外委員</w:t>
      </w:r>
      <w:r w:rsidRPr="00D974BF">
        <w:rPr>
          <w:rFonts w:eastAsia="標楷體"/>
        </w:rPr>
        <w:t>5</w:t>
      </w:r>
      <w:r w:rsidRPr="00D974BF">
        <w:rPr>
          <w:rFonts w:eastAsia="標楷體"/>
        </w:rPr>
        <w:t>人；遴聘委員由工學院院長推薦校外委員</w:t>
      </w:r>
      <w:r w:rsidRPr="00D974BF">
        <w:rPr>
          <w:rFonts w:eastAsia="標楷體"/>
        </w:rPr>
        <w:t>3</w:t>
      </w:r>
      <w:r w:rsidRPr="00D974BF">
        <w:rPr>
          <w:rFonts w:eastAsia="標楷體"/>
        </w:rPr>
        <w:t>人，數位設計學院院長推薦校外委員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人，陳請校長遴聘之。</w:t>
      </w:r>
    </w:p>
    <w:p w:rsidR="00AC2805" w:rsidRPr="00D974BF" w:rsidRDefault="00AC2805" w:rsidP="00AC2805">
      <w:pPr>
        <w:ind w:leftChars="400" w:left="960"/>
        <w:jc w:val="both"/>
        <w:rPr>
          <w:rFonts w:eastAsia="標楷體"/>
        </w:rPr>
      </w:pPr>
      <w:r w:rsidRPr="00D974BF">
        <w:rPr>
          <w:rFonts w:eastAsia="標楷體"/>
        </w:rPr>
        <w:t>編委會委員為無給職，當然委員隨其職務調整而改聘，遴聘委員任期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年，得連聘連任之。</w:t>
      </w:r>
    </w:p>
    <w:p w:rsidR="00AC2805" w:rsidRPr="00D974BF" w:rsidRDefault="00AC2805" w:rsidP="00AC2805">
      <w:pPr>
        <w:ind w:leftChars="400" w:left="960"/>
        <w:jc w:val="both"/>
        <w:rPr>
          <w:rFonts w:eastAsia="標楷體"/>
        </w:rPr>
      </w:pPr>
      <w:r w:rsidRPr="00D974BF">
        <w:rPr>
          <w:rFonts w:eastAsia="標楷體"/>
        </w:rPr>
        <w:t>編委會由學術副校長擔任召集人，教務長擔任總編輯，工學院院長及數位設計學院院長擔任副總編輯。</w:t>
      </w:r>
    </w:p>
    <w:p w:rsidR="00AC2805" w:rsidRPr="00D974BF" w:rsidRDefault="00AC2805" w:rsidP="00AC2805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第七條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編委會每年召開會議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次，必要時得召開臨時會議。會議應有二分之一以上委員出席始得開議，並以出席委員二分之一以上同意為決議。</w:t>
      </w:r>
    </w:p>
    <w:p w:rsidR="00AC2805" w:rsidRPr="00D974BF" w:rsidRDefault="00AC2805" w:rsidP="00AC2805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第八條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本學報業務主管單位為教務處綜合業務組，負責執行編委會之決議，並處理有關學報之出版及發行事宜。執行業務與編印所需經費，由教務處綜合業務組逐年編列預算支應。</w:t>
      </w:r>
    </w:p>
    <w:p w:rsidR="00AC2805" w:rsidRPr="00D974BF" w:rsidRDefault="00AC2805" w:rsidP="00AC2805">
      <w:pPr>
        <w:ind w:left="960" w:hangingChars="400" w:hanging="960"/>
        <w:jc w:val="both"/>
        <w:rPr>
          <w:rFonts w:eastAsia="標楷體"/>
        </w:rPr>
      </w:pPr>
      <w:r w:rsidRPr="00D974BF">
        <w:rPr>
          <w:rFonts w:eastAsia="標楷體"/>
        </w:rPr>
        <w:t>第九條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本學報投稿規定如下：</w:t>
      </w:r>
    </w:p>
    <w:p w:rsidR="00AC2805" w:rsidRPr="00D974BF" w:rsidRDefault="00AC2805" w:rsidP="00AC2805">
      <w:pPr>
        <w:ind w:left="960"/>
        <w:jc w:val="both"/>
        <w:rPr>
          <w:rFonts w:eastAsia="標楷體"/>
        </w:rPr>
      </w:pPr>
      <w:r w:rsidRPr="00D974BF">
        <w:rPr>
          <w:rFonts w:eastAsia="標楷體"/>
        </w:rPr>
        <w:t>一、刊載之論文以中、英文為主。</w:t>
      </w:r>
    </w:p>
    <w:p w:rsidR="00AC2805" w:rsidRPr="00D974BF" w:rsidRDefault="00AC2805" w:rsidP="00AC2805">
      <w:pPr>
        <w:ind w:leftChars="400" w:left="1440" w:hangingChars="200" w:hanging="480"/>
        <w:jc w:val="both"/>
        <w:rPr>
          <w:rFonts w:eastAsia="標楷體"/>
        </w:rPr>
      </w:pPr>
      <w:r w:rsidRPr="00D974BF">
        <w:rPr>
          <w:rFonts w:eastAsia="標楷體"/>
        </w:rPr>
        <w:t>二、篇幅以不超過</w:t>
      </w:r>
      <w:r w:rsidRPr="00D974BF">
        <w:rPr>
          <w:rFonts w:eastAsia="標楷體"/>
        </w:rPr>
        <w:t>16</w:t>
      </w:r>
      <w:r w:rsidRPr="00D974BF">
        <w:rPr>
          <w:rFonts w:eastAsia="標楷體"/>
        </w:rPr>
        <w:t>頁為原則，惟特別稿件，不在此限。</w:t>
      </w:r>
    </w:p>
    <w:p w:rsidR="00AC2805" w:rsidRPr="00D974BF" w:rsidRDefault="00AC2805" w:rsidP="00AC2805">
      <w:pPr>
        <w:ind w:left="960" w:hangingChars="400" w:hanging="960"/>
        <w:jc w:val="both"/>
        <w:rPr>
          <w:rFonts w:eastAsia="標楷體"/>
          <w:b/>
        </w:rPr>
      </w:pPr>
      <w:r w:rsidRPr="00D974BF">
        <w:rPr>
          <w:rFonts w:eastAsia="標楷體"/>
        </w:rPr>
        <w:t>第十條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本學報審查委員由副總編輯推薦。審查委員須具有該論文領域的學術專長，並具備相當於助理教授以上資格。</w:t>
      </w:r>
    </w:p>
    <w:p w:rsidR="00AC2805" w:rsidRPr="00D974BF" w:rsidRDefault="00AC2805" w:rsidP="00AC2805">
      <w:pPr>
        <w:jc w:val="both"/>
        <w:rPr>
          <w:rFonts w:eastAsia="標楷體"/>
        </w:rPr>
      </w:pPr>
      <w:r w:rsidRPr="00D974BF">
        <w:rPr>
          <w:rFonts w:eastAsia="標楷體"/>
        </w:rPr>
        <w:lastRenderedPageBreak/>
        <w:t>第十一條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業務主管單位收到稿件後，依下列方式進行審查作業：</w:t>
      </w:r>
    </w:p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一、稿件隨到隨審，業務主管單位先進行形式審查，不符合第四條或第九條之規定者，得逕予退件。通過形式審查之稿件，由業務主管單位送請副總編輯推薦之審查委員進行審查。</w:t>
      </w:r>
    </w:p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二、推薦及選定審查委員人選時，不得徵詢作者意見或告知審查委員相關資訊。</w:t>
      </w:r>
    </w:p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三、送審時應檢附論文稿件，審查意見表及審查費收據等相關資料予審查委員。</w:t>
      </w:r>
    </w:p>
    <w:p w:rsidR="00AC2805" w:rsidRPr="00D974BF" w:rsidRDefault="00AC2805" w:rsidP="00AC2805">
      <w:pPr>
        <w:jc w:val="both"/>
        <w:rPr>
          <w:rFonts w:eastAsia="標楷體"/>
        </w:rPr>
      </w:pPr>
      <w:r w:rsidRPr="00D974BF">
        <w:rPr>
          <w:rFonts w:eastAsia="標楷體"/>
        </w:rPr>
        <w:t>第十二條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稿件之審查依下列原則處理：</w:t>
      </w:r>
    </w:p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一、投稿稿件一經送審，不得要求撤回。</w:t>
      </w:r>
    </w:p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二、審查委員姓名不對外宣布，稿件審查以</w:t>
      </w:r>
      <w:r w:rsidRPr="00D974BF">
        <w:rPr>
          <w:rFonts w:eastAsia="標楷體"/>
        </w:rPr>
        <w:t>1</w:t>
      </w:r>
      <w:r w:rsidRPr="00D974BF">
        <w:rPr>
          <w:rFonts w:eastAsia="標楷體"/>
        </w:rPr>
        <w:t>個月內審查完成為原則。如逾審查期限，得再推薦選定其他審查委員審查，並優先採用新審查委員之審查結果。</w:t>
      </w:r>
    </w:p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三、審查作業採匿名審查，為維持審查公平性，投稿表件及論文所有項目，皆請勿申述任何與論文主題無關之作者資料及感謝文字，否則本刊將先刪除該類文字，再予送審。</w:t>
      </w:r>
    </w:p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四、稿件審查結果分為下列四種：（</w:t>
      </w:r>
      <w:r w:rsidRPr="00D974BF">
        <w:rPr>
          <w:rFonts w:eastAsia="標楷體"/>
        </w:rPr>
        <w:t>1</w:t>
      </w:r>
      <w:r w:rsidRPr="00D974BF">
        <w:rPr>
          <w:rFonts w:eastAsia="標楷體"/>
        </w:rPr>
        <w:t>）刊登；（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）修改後刊登；（</w:t>
      </w:r>
      <w:r w:rsidRPr="00D974BF">
        <w:rPr>
          <w:rFonts w:eastAsia="標楷體"/>
        </w:rPr>
        <w:t>3</w:t>
      </w:r>
      <w:r w:rsidRPr="00D974BF">
        <w:rPr>
          <w:rFonts w:eastAsia="標楷體"/>
        </w:rPr>
        <w:t>）修改後再審；（</w:t>
      </w:r>
      <w:r w:rsidRPr="00D974BF">
        <w:rPr>
          <w:rFonts w:eastAsia="標楷體"/>
        </w:rPr>
        <w:t>4</w:t>
      </w:r>
      <w:r w:rsidRPr="00D974BF">
        <w:rPr>
          <w:rFonts w:eastAsia="標楷體"/>
        </w:rPr>
        <w:t>）不推薦刊登。</w:t>
      </w:r>
    </w:p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五、審查結果處理方式如下表。</w:t>
      </w:r>
    </w:p>
    <w:tbl>
      <w:tblPr>
        <w:tblW w:w="0" w:type="auto"/>
        <w:tblInd w:w="19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0"/>
        <w:gridCol w:w="1196"/>
        <w:gridCol w:w="1196"/>
        <w:gridCol w:w="1196"/>
        <w:gridCol w:w="1196"/>
        <w:gridCol w:w="1116"/>
      </w:tblGrid>
      <w:tr w:rsidR="00AC2805" w:rsidRPr="00D974BF" w:rsidTr="00787AD3">
        <w:tc>
          <w:tcPr>
            <w:tcW w:w="1676" w:type="dxa"/>
            <w:gridSpan w:val="2"/>
            <w:vMerge w:val="restart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處理方式</w:t>
            </w:r>
          </w:p>
        </w:tc>
        <w:tc>
          <w:tcPr>
            <w:tcW w:w="4704" w:type="dxa"/>
            <w:gridSpan w:val="4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第二位評審意見</w:t>
            </w:r>
          </w:p>
        </w:tc>
      </w:tr>
      <w:tr w:rsidR="00AC2805" w:rsidRPr="00D974BF" w:rsidTr="00787AD3">
        <w:tc>
          <w:tcPr>
            <w:tcW w:w="1676" w:type="dxa"/>
            <w:gridSpan w:val="2"/>
            <w:vMerge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1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不推薦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刊登</w:t>
            </w:r>
          </w:p>
        </w:tc>
      </w:tr>
      <w:tr w:rsidR="00AC2805" w:rsidRPr="00D974BF" w:rsidTr="00787AD3">
        <w:tc>
          <w:tcPr>
            <w:tcW w:w="480" w:type="dxa"/>
            <w:vMerge w:val="restart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第一位評審意見</w:t>
            </w: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1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第三位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評審</w:t>
            </w:r>
          </w:p>
        </w:tc>
      </w:tr>
      <w:tr w:rsidR="00AC2805" w:rsidRPr="00D974BF" w:rsidTr="00787AD3">
        <w:tc>
          <w:tcPr>
            <w:tcW w:w="480" w:type="dxa"/>
            <w:vMerge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1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第三位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評審</w:t>
            </w:r>
          </w:p>
        </w:tc>
      </w:tr>
      <w:tr w:rsidR="00AC2805" w:rsidRPr="00D974BF" w:rsidTr="00787AD3">
        <w:tc>
          <w:tcPr>
            <w:tcW w:w="480" w:type="dxa"/>
            <w:vMerge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修改後</w:t>
            </w:r>
          </w:p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再審</w:t>
            </w:r>
          </w:p>
        </w:tc>
        <w:tc>
          <w:tcPr>
            <w:tcW w:w="111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退稿</w:t>
            </w:r>
          </w:p>
        </w:tc>
      </w:tr>
      <w:tr w:rsidR="00AC2805" w:rsidRPr="00D974BF" w:rsidTr="00787AD3">
        <w:tc>
          <w:tcPr>
            <w:tcW w:w="480" w:type="dxa"/>
            <w:vMerge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不推薦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刊登</w:t>
            </w: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第三位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評審</w:t>
            </w: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第三位</w:t>
            </w:r>
            <w:r w:rsidRPr="00D974BF">
              <w:rPr>
                <w:rFonts w:eastAsia="標楷體"/>
              </w:rPr>
              <w:br/>
            </w:r>
            <w:r w:rsidRPr="00D974BF">
              <w:rPr>
                <w:rFonts w:eastAsia="標楷體"/>
              </w:rPr>
              <w:t>評審</w:t>
            </w:r>
          </w:p>
        </w:tc>
        <w:tc>
          <w:tcPr>
            <w:tcW w:w="119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退稿</w:t>
            </w:r>
          </w:p>
        </w:tc>
        <w:tc>
          <w:tcPr>
            <w:tcW w:w="1116" w:type="dxa"/>
            <w:vAlign w:val="center"/>
          </w:tcPr>
          <w:p w:rsidR="00AC2805" w:rsidRPr="00D974BF" w:rsidRDefault="00AC2805" w:rsidP="00787AD3">
            <w:pPr>
              <w:tabs>
                <w:tab w:val="num" w:pos="2040"/>
              </w:tabs>
              <w:jc w:val="center"/>
              <w:rPr>
                <w:rFonts w:eastAsia="標楷體"/>
              </w:rPr>
            </w:pPr>
            <w:r w:rsidRPr="00D974BF">
              <w:rPr>
                <w:rFonts w:eastAsia="標楷體"/>
              </w:rPr>
              <w:t>退稿</w:t>
            </w:r>
          </w:p>
        </w:tc>
      </w:tr>
    </w:tbl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六、若審查結果處理方式為修改後刊登，業務主管單位先請作者進行稿件修改，再送請副總編輯確認是否已依審查意見修正。</w:t>
      </w:r>
    </w:p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七、審查結果不論接受刊登與否，業務主管單位應知會作者，投稿稿件一律不予退還。</w:t>
      </w:r>
    </w:p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八、作者若於稿件送審至出版期間要求撤稿，本學報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年內不再接受該作者再次投稿。</w:t>
      </w:r>
    </w:p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九、審查結果為修改後再審或修改後推薦刊登之論文，修改期限以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個月為限，不得延期修改，未於期限內完成修改之論文，本學報得予以逕行退</w:t>
      </w:r>
      <w:r w:rsidRPr="00D974BF">
        <w:rPr>
          <w:rFonts w:eastAsia="標楷體"/>
        </w:rPr>
        <w:lastRenderedPageBreak/>
        <w:t>稿。</w:t>
      </w:r>
    </w:p>
    <w:p w:rsidR="00AC2805" w:rsidRPr="00D974BF" w:rsidRDefault="00AC2805" w:rsidP="00AC2805">
      <w:pPr>
        <w:ind w:left="1200" w:hangingChars="500" w:hanging="1200"/>
        <w:jc w:val="both"/>
        <w:rPr>
          <w:rFonts w:eastAsia="標楷體"/>
        </w:rPr>
      </w:pPr>
      <w:r w:rsidRPr="00D974BF">
        <w:rPr>
          <w:rFonts w:eastAsia="標楷體"/>
        </w:rPr>
        <w:t>第十三條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完成審查之稿件由業務主管單位送請副總編輯作最後決定。稿件刊登處理原則如下：</w:t>
      </w:r>
    </w:p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一、同一期同一作者以刊登</w:t>
      </w:r>
      <w:r w:rsidRPr="00D974BF">
        <w:rPr>
          <w:rFonts w:eastAsia="標楷體"/>
        </w:rPr>
        <w:t>1</w:t>
      </w:r>
      <w:r w:rsidRPr="00D974BF">
        <w:rPr>
          <w:rFonts w:eastAsia="標楷體"/>
        </w:rPr>
        <w:t>篇稿件為原則，如作者有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人以上時，則以第一作者為認定基準。</w:t>
      </w:r>
    </w:p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二、如確有需要及時刊登者，同一作者同一期中以</w:t>
      </w:r>
      <w:r w:rsidRPr="00D974BF">
        <w:rPr>
          <w:rFonts w:eastAsia="標楷體"/>
        </w:rPr>
        <w:t>2</w:t>
      </w:r>
      <w:r w:rsidRPr="00D974BF">
        <w:rPr>
          <w:rFonts w:eastAsia="標楷體"/>
        </w:rPr>
        <w:t>篇論文為限。</w:t>
      </w:r>
    </w:p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三、經審定採用之稿件，於出刊前之校樣，一律由作者自行負責校對。出刊前未能編輯或校對完成者，其稿件得順延至下一期刊登。</w:t>
      </w:r>
    </w:p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四、投稿論文經本學報接受刊登，作者須同意依本學報授權同意書之約定，將著作權授權本校。</w:t>
      </w:r>
    </w:p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五、本學報刊登之稿件，著作權歸屬作者所有，文章內容有違反著作權法者，由作者自負責任。</w:t>
      </w:r>
    </w:p>
    <w:p w:rsidR="00AC2805" w:rsidRPr="00D974BF" w:rsidRDefault="00AC2805" w:rsidP="00AC2805">
      <w:pPr>
        <w:ind w:leftChars="514" w:left="1707" w:hangingChars="197" w:hanging="473"/>
        <w:jc w:val="both"/>
        <w:rPr>
          <w:rFonts w:eastAsia="標楷體"/>
        </w:rPr>
      </w:pPr>
      <w:r w:rsidRPr="00D974BF">
        <w:rPr>
          <w:rFonts w:eastAsia="標楷體"/>
        </w:rPr>
        <w:t>六、</w:t>
      </w:r>
      <w:r w:rsidRPr="00AC2805">
        <w:rPr>
          <w:rFonts w:eastAsia="標楷體"/>
        </w:rPr>
        <w:t>經本學報刊登之稿件，</w:t>
      </w:r>
      <w:r w:rsidRPr="00AC2805">
        <w:rPr>
          <w:rFonts w:eastAsia="標楷體" w:hint="eastAsia"/>
        </w:rPr>
        <w:t>英文稿件</w:t>
      </w:r>
      <w:r w:rsidRPr="00AC2805">
        <w:rPr>
          <w:rFonts w:eastAsia="標楷體"/>
        </w:rPr>
        <w:t>每篇另奉稿酬新臺幣</w:t>
      </w:r>
      <w:r w:rsidRPr="00AC2805">
        <w:rPr>
          <w:rFonts w:eastAsia="標楷體" w:hint="eastAsia"/>
        </w:rPr>
        <w:t>參</w:t>
      </w:r>
      <w:r w:rsidRPr="00AC2805">
        <w:rPr>
          <w:rFonts w:eastAsia="標楷體"/>
        </w:rPr>
        <w:t>仟元整</w:t>
      </w:r>
      <w:r w:rsidRPr="00AC2805">
        <w:rPr>
          <w:rFonts w:eastAsia="標楷體" w:hint="eastAsia"/>
        </w:rPr>
        <w:t>，中文稿件每篇另奉稿酬新台幣壹仟元整</w:t>
      </w:r>
      <w:r w:rsidRPr="00AC2805">
        <w:rPr>
          <w:rFonts w:eastAsia="標楷體"/>
        </w:rPr>
        <w:t>。</w:t>
      </w:r>
    </w:p>
    <w:p w:rsidR="00E960D5" w:rsidRPr="00AC2805" w:rsidRDefault="00AC2805" w:rsidP="00AC2805">
      <w:pPr>
        <w:ind w:left="1200" w:hangingChars="500" w:hanging="1200"/>
        <w:jc w:val="both"/>
      </w:pPr>
      <w:r w:rsidRPr="00D974BF">
        <w:rPr>
          <w:rFonts w:eastAsia="標楷體"/>
        </w:rPr>
        <w:t>第十四條</w:t>
      </w:r>
      <w:r w:rsidRPr="00D974BF">
        <w:rPr>
          <w:rFonts w:eastAsia="標楷體"/>
        </w:rPr>
        <w:t xml:space="preserve">  </w:t>
      </w:r>
      <w:r w:rsidRPr="00D974BF">
        <w:rPr>
          <w:rFonts w:eastAsia="標楷體"/>
        </w:rPr>
        <w:t>本辦法經行政會議通過，陳請校長核定後公布施行，修正時亦同。</w:t>
      </w:r>
    </w:p>
    <w:sectPr w:rsidR="00E960D5" w:rsidRPr="00AC2805" w:rsidSect="00AC2805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8A3D46"/>
    <w:multiLevelType w:val="hybridMultilevel"/>
    <w:tmpl w:val="55726A34"/>
    <w:lvl w:ilvl="0" w:tplc="04090015">
      <w:start w:val="1"/>
      <w:numFmt w:val="taiwaneseCountingThousand"/>
      <w:lvlText w:val="%1、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bordersDoNotSurroundHeader/>
  <w:bordersDoNotSurroundFooter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805"/>
    <w:rsid w:val="00AC2805"/>
    <w:rsid w:val="00C07A23"/>
    <w:rsid w:val="00E96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2A5D83-0699-4C8E-84B3-098CA6AA8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8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328</Words>
  <Characters>1874</Characters>
  <Application>Microsoft Office Word</Application>
  <DocSecurity>4</DocSecurity>
  <Lines>15</Lines>
  <Paragraphs>4</Paragraphs>
  <ScaleCrop>false</ScaleCrop>
  <Company>User</Company>
  <LinksUpToDate>false</LinksUpToDate>
  <CharactersWithSpaces>2198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2</cp:revision>
  <dcterms:created xsi:type="dcterms:W3CDTF">2016-05-09T01:45:00Z</dcterms:created>
  <dcterms:modified xsi:type="dcterms:W3CDTF">2016-05-09T01:45:00Z</dcterms:modified>
</cp:coreProperties>
</file>