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59" w:rsidRDefault="00E85059" w:rsidP="00E85059">
      <w:pPr>
        <w:snapToGrid w:val="0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bookmarkStart w:id="0" w:name="_GoBack"/>
      <w:bookmarkEnd w:id="0"/>
    </w:p>
    <w:p w:rsidR="00E85059" w:rsidRDefault="00E85059" w:rsidP="00E85059">
      <w:pPr>
        <w:snapToGrid w:val="0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C74164">
        <w:rPr>
          <w:rFonts w:ascii="Times New Roman" w:eastAsia="標楷體" w:hAnsi="標楷體" w:cs="Times New Roman" w:hint="eastAsia"/>
          <w:b/>
          <w:sz w:val="32"/>
          <w:szCs w:val="32"/>
        </w:rPr>
        <w:t>以機率反向劑量學整合藥物動力學模式評估砷暴露</w:t>
      </w:r>
      <w:r>
        <w:rPr>
          <w:rFonts w:ascii="Times New Roman" w:eastAsia="標楷體" w:hAnsi="標楷體" w:cs="Times New Roman" w:hint="eastAsia"/>
          <w:b/>
          <w:sz w:val="32"/>
          <w:szCs w:val="32"/>
        </w:rPr>
        <w:t>之</w:t>
      </w:r>
      <w:r w:rsidRPr="00C74164">
        <w:rPr>
          <w:rFonts w:ascii="Times New Roman" w:eastAsia="標楷體" w:hAnsi="標楷體" w:cs="Times New Roman" w:hint="eastAsia"/>
          <w:b/>
          <w:sz w:val="32"/>
          <w:szCs w:val="32"/>
        </w:rPr>
        <w:t>慢性腎臟病風險</w:t>
      </w:r>
    </w:p>
    <w:p w:rsidR="00E85059" w:rsidRPr="00E60B6B" w:rsidRDefault="00E85059" w:rsidP="00E85059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</w:p>
    <w:p w:rsidR="00E85059" w:rsidRDefault="00E85059" w:rsidP="00E85059">
      <w:pPr>
        <w:snapToGrid w:val="0"/>
        <w:jc w:val="center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蕭如伶</w:t>
      </w:r>
      <w:r w:rsidRPr="00405F97">
        <w:rPr>
          <w:rFonts w:ascii="Times New Roman" w:eastAsia="標楷體" w:hAnsi="標楷體" w:cs="Times New Roman" w:hint="eastAsia"/>
          <w:szCs w:val="24"/>
        </w:rPr>
        <w:t>，</w:t>
      </w:r>
      <w:r>
        <w:rPr>
          <w:rFonts w:ascii="Times New Roman" w:eastAsia="標楷體" w:hAnsi="標楷體" w:cs="Times New Roman" w:hint="eastAsia"/>
          <w:szCs w:val="24"/>
        </w:rPr>
        <w:t>陽明大學食品安全及健康風險評估研究所</w:t>
      </w:r>
      <w:r w:rsidRPr="00405F97">
        <w:rPr>
          <w:rFonts w:ascii="Times New Roman" w:eastAsia="標楷體" w:hAnsi="標楷體" w:cs="Times New Roman" w:hint="eastAsia"/>
          <w:szCs w:val="24"/>
        </w:rPr>
        <w:t>研究生</w:t>
      </w:r>
    </w:p>
    <w:p w:rsidR="00E85059" w:rsidRDefault="00E85059" w:rsidP="00E85059">
      <w:pPr>
        <w:snapToGrid w:val="0"/>
        <w:jc w:val="center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林怡君</w:t>
      </w:r>
      <w:r w:rsidRPr="00405F97">
        <w:rPr>
          <w:rFonts w:ascii="Times New Roman" w:eastAsia="標楷體" w:hAnsi="標楷體" w:cs="Times New Roman" w:hint="eastAsia"/>
          <w:szCs w:val="24"/>
        </w:rPr>
        <w:t>，</w:t>
      </w:r>
      <w:r>
        <w:rPr>
          <w:rFonts w:ascii="Times New Roman" w:eastAsia="標楷體" w:hAnsi="標楷體" w:cs="Times New Roman" w:hint="eastAsia"/>
          <w:szCs w:val="24"/>
        </w:rPr>
        <w:t>陽明大學食品安全及健康風險評估研究所助理</w:t>
      </w:r>
      <w:r w:rsidRPr="00405F97">
        <w:rPr>
          <w:rFonts w:ascii="Times New Roman" w:eastAsia="標楷體" w:hAnsi="標楷體" w:cs="Times New Roman" w:hint="eastAsia"/>
          <w:szCs w:val="24"/>
        </w:rPr>
        <w:t>教授</w:t>
      </w:r>
    </w:p>
    <w:p w:rsidR="00E85059" w:rsidRPr="00501C4A" w:rsidRDefault="00E85059" w:rsidP="00E85059">
      <w:pPr>
        <w:snapToGrid w:val="0"/>
        <w:jc w:val="center"/>
        <w:rPr>
          <w:rFonts w:ascii="Times New Roman" w:eastAsia="標楷體" w:hAnsi="標楷體" w:cs="Times New Roman"/>
          <w:szCs w:val="24"/>
        </w:rPr>
      </w:pPr>
      <w:r w:rsidRPr="008D7FFB">
        <w:rPr>
          <w:rFonts w:ascii="Times New Roman" w:eastAsia="標楷體" w:hAnsi="標楷體" w:cs="Times New Roman" w:hint="eastAsia"/>
          <w:szCs w:val="24"/>
        </w:rPr>
        <w:t>許惠悰</w:t>
      </w:r>
      <w:r>
        <w:rPr>
          <w:rFonts w:ascii="Times New Roman" w:eastAsia="標楷體" w:hAnsi="標楷體" w:cs="Times New Roman" w:hint="eastAsia"/>
          <w:szCs w:val="24"/>
        </w:rPr>
        <w:t>*</w:t>
      </w:r>
      <w:r w:rsidRPr="008D7FFB">
        <w:rPr>
          <w:rFonts w:ascii="Times New Roman" w:eastAsia="標楷體" w:hAnsi="標楷體" w:cs="Times New Roman" w:hint="eastAsia"/>
          <w:szCs w:val="24"/>
        </w:rPr>
        <w:t>，中國醫藥大學健康風險管理學系教授</w:t>
      </w:r>
    </w:p>
    <w:p w:rsidR="00E85059" w:rsidRDefault="00E85059" w:rsidP="00E85059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E85059" w:rsidRPr="00B12AA7" w:rsidRDefault="00E85059" w:rsidP="00E85059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E85059" w:rsidRDefault="00E85059" w:rsidP="00E85059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12AA7">
        <w:rPr>
          <w:rFonts w:ascii="Times New Roman" w:eastAsia="標楷體" w:hAnsi="Times New Roman" w:cs="Times New Roman" w:hint="eastAsia"/>
          <w:b/>
          <w:sz w:val="28"/>
          <w:szCs w:val="28"/>
        </w:rPr>
        <w:t>摘要</w:t>
      </w:r>
    </w:p>
    <w:p w:rsidR="00E85059" w:rsidRPr="00B12AA7" w:rsidRDefault="00E85059" w:rsidP="00E85059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85059" w:rsidRDefault="00E85059" w:rsidP="00E85059">
      <w:pPr>
        <w:adjustRightInd w:val="0"/>
        <w:snapToGrid w:val="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165302">
        <w:rPr>
          <w:rFonts w:ascii="Times New Roman" w:eastAsia="標楷體" w:hAnsi="Times New Roman" w:cs="Times New Roman"/>
          <w:szCs w:val="24"/>
        </w:rPr>
        <w:t>慢性腎臟病</w:t>
      </w:r>
      <w:r>
        <w:rPr>
          <w:rFonts w:ascii="Times New Roman" w:eastAsia="標楷體" w:hAnsi="Times New Roman" w:cs="Times New Roman" w:hint="eastAsia"/>
          <w:szCs w:val="24"/>
        </w:rPr>
        <w:t>(c</w:t>
      </w:r>
      <w:r>
        <w:rPr>
          <w:rFonts w:ascii="Times New Roman" w:eastAsia="標楷體" w:hAnsi="Times New Roman" w:cs="Times New Roman"/>
          <w:szCs w:val="24"/>
        </w:rPr>
        <w:t>hronic</w:t>
      </w:r>
      <w:r>
        <w:rPr>
          <w:rFonts w:ascii="Times New Roman" w:eastAsia="標楷體" w:hAnsi="Times New Roman" w:cs="Times New Roman" w:hint="eastAsia"/>
          <w:szCs w:val="24"/>
        </w:rPr>
        <w:t xml:space="preserve"> k</w:t>
      </w:r>
      <w:r>
        <w:rPr>
          <w:rFonts w:ascii="Times New Roman" w:eastAsia="標楷體" w:hAnsi="Times New Roman" w:cs="Times New Roman"/>
          <w:szCs w:val="24"/>
        </w:rPr>
        <w:t xml:space="preserve">idney </w:t>
      </w:r>
      <w:r>
        <w:rPr>
          <w:rFonts w:ascii="Times New Roman" w:eastAsia="標楷體" w:hAnsi="Times New Roman" w:cs="Times New Roman" w:hint="eastAsia"/>
          <w:szCs w:val="24"/>
        </w:rPr>
        <w:t>d</w:t>
      </w:r>
      <w:r>
        <w:rPr>
          <w:rFonts w:ascii="Times New Roman" w:eastAsia="標楷體" w:hAnsi="Times New Roman" w:cs="Times New Roman"/>
          <w:szCs w:val="24"/>
        </w:rPr>
        <w:t>isease,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65302">
        <w:rPr>
          <w:rFonts w:ascii="Times New Roman" w:eastAsia="標楷體" w:hAnsi="Times New Roman" w:cs="Times New Roman"/>
          <w:szCs w:val="24"/>
        </w:rPr>
        <w:t>CKD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為</w:t>
      </w:r>
      <w:r w:rsidRPr="00165302">
        <w:rPr>
          <w:rFonts w:ascii="Times New Roman" w:eastAsia="標楷體" w:hAnsi="Times New Roman" w:cs="Times New Roman"/>
          <w:szCs w:val="24"/>
        </w:rPr>
        <w:t>近年世界重要</w:t>
      </w:r>
      <w:r>
        <w:rPr>
          <w:rFonts w:ascii="Times New Roman" w:eastAsia="標楷體" w:hAnsi="Times New Roman" w:cs="Times New Roman"/>
          <w:szCs w:val="24"/>
        </w:rPr>
        <w:t>公共衛生議題之一</w:t>
      </w:r>
      <w:r>
        <w:rPr>
          <w:rFonts w:ascii="Times New Roman" w:eastAsia="標楷體" w:hAnsi="Times New Roman" w:cs="Times New Roman" w:hint="eastAsia"/>
          <w:szCs w:val="24"/>
        </w:rPr>
        <w:t>，亦是名列</w:t>
      </w:r>
      <w:r w:rsidRPr="00165302">
        <w:rPr>
          <w:rFonts w:ascii="Times New Roman" w:eastAsia="標楷體" w:hAnsi="Times New Roman" w:cs="Times New Roman"/>
          <w:szCs w:val="24"/>
        </w:rPr>
        <w:t>臺灣</w:t>
      </w:r>
      <w:r w:rsidRPr="00165302">
        <w:rPr>
          <w:rFonts w:ascii="Times New Roman" w:eastAsia="標楷體" w:hAnsi="Times New Roman" w:cs="Times New Roman" w:hint="eastAsia"/>
          <w:szCs w:val="24"/>
        </w:rPr>
        <w:t>十大死因排行榜，</w:t>
      </w:r>
      <w:r>
        <w:rPr>
          <w:rFonts w:ascii="Times New Roman" w:eastAsia="標楷體" w:hAnsi="Times New Roman" w:cs="Times New Roman"/>
          <w:szCs w:val="24"/>
        </w:rPr>
        <w:t>臺灣末期腎臟病發生率</w:t>
      </w:r>
      <w:r>
        <w:rPr>
          <w:rFonts w:ascii="Times New Roman" w:eastAsia="標楷體" w:hAnsi="Times New Roman" w:cs="Times New Roman" w:hint="eastAsia"/>
          <w:szCs w:val="24"/>
        </w:rPr>
        <w:t>更</w:t>
      </w:r>
      <w:r w:rsidRPr="00165302">
        <w:rPr>
          <w:rFonts w:ascii="Times New Roman" w:eastAsia="標楷體" w:hAnsi="Times New Roman" w:cs="Times New Roman"/>
          <w:szCs w:val="24"/>
        </w:rPr>
        <w:t>高居世界前茅。過去流行病學</w:t>
      </w:r>
      <w:r>
        <w:rPr>
          <w:rFonts w:ascii="Times New Roman" w:eastAsia="標楷體" w:hAnsi="Times New Roman" w:cs="Times New Roman" w:hint="eastAsia"/>
          <w:szCs w:val="24"/>
        </w:rPr>
        <w:t>研究</w:t>
      </w:r>
      <w:r w:rsidRPr="00165302">
        <w:rPr>
          <w:rFonts w:ascii="Times New Roman" w:eastAsia="標楷體" w:hAnsi="Times New Roman" w:cs="Times New Roman"/>
          <w:szCs w:val="24"/>
        </w:rPr>
        <w:t>指出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165302">
        <w:rPr>
          <w:rFonts w:ascii="Times New Roman" w:eastAsia="標楷體" w:hAnsi="Times New Roman" w:cs="Times New Roman"/>
          <w:szCs w:val="24"/>
        </w:rPr>
        <w:t>長期飲用含砷水者會增加罹患癌症風險，易誘發腎臟病、失智症、糖尿病、心血管等疾病。砷在泌尿系統排除過程中濃縮於腎臟，增加腎組織中的脂質過氧化和細胞損傷，</w:t>
      </w:r>
      <w:r>
        <w:rPr>
          <w:rFonts w:ascii="Times New Roman" w:eastAsia="標楷體" w:hAnsi="Times New Roman" w:cs="Times New Roman"/>
          <w:szCs w:val="24"/>
        </w:rPr>
        <w:t>進而影響近曲小管與腎絲球體</w:t>
      </w:r>
      <w:r>
        <w:rPr>
          <w:rFonts w:ascii="Times New Roman" w:eastAsia="標楷體" w:hAnsi="Times New Roman" w:cs="Times New Roman" w:hint="eastAsia"/>
          <w:szCs w:val="24"/>
        </w:rPr>
        <w:t>之</w:t>
      </w:r>
      <w:r w:rsidRPr="00165302">
        <w:rPr>
          <w:rFonts w:ascii="Times New Roman" w:eastAsia="標楷體" w:hAnsi="Times New Roman" w:cs="Times New Roman"/>
          <w:szCs w:val="24"/>
        </w:rPr>
        <w:t>功能。</w:t>
      </w:r>
      <w:r>
        <w:rPr>
          <w:rFonts w:ascii="Times New Roman" w:eastAsia="標楷體" w:hAnsi="Times New Roman" w:cs="Times New Roman"/>
          <w:szCs w:val="24"/>
        </w:rPr>
        <w:t>本研究目的</w:t>
      </w:r>
      <w:r>
        <w:rPr>
          <w:rFonts w:ascii="Times New Roman" w:eastAsia="標楷體" w:hAnsi="Times New Roman" w:cs="Times New Roman" w:hint="eastAsia"/>
          <w:szCs w:val="24"/>
        </w:rPr>
        <w:t>為藉由生物監測數據推估國人無機</w:t>
      </w:r>
      <w:r w:rsidRPr="00165302">
        <w:rPr>
          <w:rFonts w:ascii="Times New Roman" w:eastAsia="標楷體" w:hAnsi="Times New Roman" w:cs="Times New Roman"/>
          <w:szCs w:val="24"/>
        </w:rPr>
        <w:t>砷</w:t>
      </w:r>
      <w:r>
        <w:rPr>
          <w:rFonts w:ascii="Times New Roman" w:eastAsia="標楷體" w:hAnsi="Times New Roman" w:cs="Times New Roman" w:hint="eastAsia"/>
          <w:szCs w:val="24"/>
        </w:rPr>
        <w:t>(i</w:t>
      </w:r>
      <w:r>
        <w:rPr>
          <w:rFonts w:ascii="Times New Roman" w:eastAsia="標楷體" w:hAnsi="Times New Roman" w:cs="Times New Roman"/>
          <w:szCs w:val="24"/>
        </w:rPr>
        <w:t>norganic arsenic, iAs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攝食</w:t>
      </w:r>
      <w:r w:rsidRPr="00165302">
        <w:rPr>
          <w:rFonts w:ascii="Times New Roman" w:eastAsia="標楷體" w:hAnsi="Times New Roman" w:cs="Times New Roman"/>
          <w:szCs w:val="24"/>
        </w:rPr>
        <w:t>暴露</w:t>
      </w:r>
      <w:r>
        <w:rPr>
          <w:rFonts w:ascii="Times New Roman" w:eastAsia="標楷體" w:hAnsi="Times New Roman" w:cs="Times New Roman" w:hint="eastAsia"/>
          <w:szCs w:val="24"/>
        </w:rPr>
        <w:t>量及其</w:t>
      </w:r>
      <w:r>
        <w:rPr>
          <w:rFonts w:ascii="Times New Roman" w:eastAsia="標楷體" w:hAnsi="Times New Roman" w:cs="Times New Roman" w:hint="eastAsia"/>
          <w:szCs w:val="24"/>
        </w:rPr>
        <w:t>CKD</w:t>
      </w:r>
      <w:r>
        <w:rPr>
          <w:rFonts w:ascii="Times New Roman" w:eastAsia="標楷體" w:hAnsi="Times New Roman" w:cs="Times New Roman" w:hint="eastAsia"/>
          <w:szCs w:val="24"/>
        </w:rPr>
        <w:t>之健康風險。</w:t>
      </w:r>
      <w:r w:rsidRPr="00165302">
        <w:rPr>
          <w:rFonts w:ascii="Times New Roman" w:eastAsia="標楷體" w:hAnsi="Times New Roman" w:cs="Times New Roman"/>
          <w:szCs w:val="24"/>
        </w:rPr>
        <w:t>本研究以風險評估為架構，</w:t>
      </w:r>
      <w:r>
        <w:rPr>
          <w:rFonts w:ascii="Times New Roman" w:eastAsia="標楷體" w:hAnsi="Times New Roman" w:cs="Times New Roman" w:hint="eastAsia"/>
          <w:szCs w:val="24"/>
        </w:rPr>
        <w:t>建立</w:t>
      </w:r>
      <w:r w:rsidRPr="00165302">
        <w:rPr>
          <w:rFonts w:ascii="Times New Roman" w:eastAsia="標楷體" w:hAnsi="Times New Roman" w:cs="Times New Roman"/>
          <w:szCs w:val="24"/>
        </w:rPr>
        <w:t>機率反向劑量學</w:t>
      </w:r>
      <w:r>
        <w:rPr>
          <w:rFonts w:ascii="Times New Roman" w:eastAsia="標楷體" w:hAnsi="Times New Roman" w:cs="Times New Roman"/>
          <w:szCs w:val="24"/>
        </w:rPr>
        <w:t>(reverse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65302">
        <w:rPr>
          <w:rFonts w:ascii="Times New Roman" w:eastAsia="標楷體" w:hAnsi="Times New Roman" w:cs="Times New Roman"/>
          <w:szCs w:val="24"/>
        </w:rPr>
        <w:t>dosimetry)</w:t>
      </w:r>
      <w:r>
        <w:rPr>
          <w:rFonts w:ascii="Times New Roman" w:eastAsia="標楷體" w:hAnsi="Times New Roman" w:cs="Times New Roman" w:hint="eastAsia"/>
          <w:szCs w:val="24"/>
        </w:rPr>
        <w:t>之</w:t>
      </w:r>
      <w:r w:rsidRPr="00165302">
        <w:rPr>
          <w:rFonts w:ascii="Times New Roman" w:eastAsia="標楷體" w:hAnsi="Times New Roman" w:cs="Times New Roman"/>
          <w:szCs w:val="24"/>
        </w:rPr>
        <w:t>人類之藥物動力學模式</w:t>
      </w:r>
      <w:r w:rsidRPr="00165302">
        <w:rPr>
          <w:rFonts w:ascii="Times New Roman" w:eastAsia="標楷體" w:hAnsi="Times New Roman" w:cs="Times New Roman"/>
          <w:szCs w:val="24"/>
        </w:rPr>
        <w:t>(physiologically based pharmacokinetic model, PBPK)</w:t>
      </w:r>
      <w:r>
        <w:rPr>
          <w:rFonts w:ascii="Times New Roman" w:eastAsia="標楷體" w:hAnsi="Times New Roman" w:cs="Times New Roman" w:hint="eastAsia"/>
          <w:szCs w:val="24"/>
        </w:rPr>
        <w:t>，並將所分析之台中后里地區居民血液中砷濃度以該模式堆估其</w:t>
      </w:r>
      <w:r>
        <w:rPr>
          <w:rFonts w:ascii="Times New Roman" w:eastAsia="標楷體" w:hAnsi="Times New Roman" w:cs="Times New Roman" w:hint="eastAsia"/>
          <w:szCs w:val="24"/>
        </w:rPr>
        <w:t>i</w:t>
      </w:r>
      <w:r>
        <w:rPr>
          <w:rFonts w:ascii="Times New Roman" w:eastAsia="標楷體" w:hAnsi="Times New Roman" w:cs="Times New Roman"/>
          <w:szCs w:val="24"/>
        </w:rPr>
        <w:t>As</w:t>
      </w:r>
      <w:r w:rsidRPr="00165302">
        <w:rPr>
          <w:rFonts w:ascii="Times New Roman" w:eastAsia="標楷體" w:hAnsi="Times New Roman" w:cs="Times New Roman"/>
          <w:szCs w:val="24"/>
        </w:rPr>
        <w:t>每日平均劑量</w:t>
      </w:r>
      <w:r w:rsidRPr="00165302">
        <w:rPr>
          <w:rFonts w:ascii="Times New Roman" w:eastAsia="標楷體" w:hAnsi="Times New Roman" w:cs="Times New Roman"/>
          <w:szCs w:val="24"/>
        </w:rPr>
        <w:t>(average daily dose, ADD)</w:t>
      </w:r>
      <w:r>
        <w:rPr>
          <w:rFonts w:ascii="Times New Roman" w:eastAsia="標楷體" w:hAnsi="Times New Roman" w:cs="Times New Roman" w:hint="eastAsia"/>
          <w:szCs w:val="24"/>
        </w:rPr>
        <w:t>。</w:t>
      </w:r>
      <w:r w:rsidRPr="00165302">
        <w:rPr>
          <w:rFonts w:ascii="Times New Roman" w:eastAsia="標楷體" w:hAnsi="Times New Roman" w:cs="Times New Roman"/>
          <w:szCs w:val="24"/>
        </w:rPr>
        <w:t>接著以基準劑量模式</w:t>
      </w:r>
      <w:r w:rsidRPr="00165302">
        <w:rPr>
          <w:rFonts w:ascii="Times New Roman" w:eastAsia="標楷體" w:hAnsi="Times New Roman" w:cs="Times New Roman"/>
          <w:szCs w:val="24"/>
        </w:rPr>
        <w:t>(benchmark dose model)</w:t>
      </w:r>
      <w:r>
        <w:rPr>
          <w:rFonts w:ascii="Times New Roman" w:eastAsia="標楷體" w:hAnsi="Times New Roman" w:cs="Times New Roman" w:hint="eastAsia"/>
          <w:szCs w:val="24"/>
        </w:rPr>
        <w:t>建立</w:t>
      </w:r>
      <w:r>
        <w:rPr>
          <w:rFonts w:ascii="Times New Roman" w:eastAsia="標楷體" w:hAnsi="Times New Roman" w:cs="Times New Roman" w:hint="eastAsia"/>
          <w:szCs w:val="24"/>
        </w:rPr>
        <w:t>i</w:t>
      </w:r>
      <w:r>
        <w:rPr>
          <w:rFonts w:ascii="Times New Roman" w:eastAsia="標楷體" w:hAnsi="Times New Roman" w:cs="Times New Roman"/>
          <w:szCs w:val="24"/>
        </w:rPr>
        <w:t>As</w:t>
      </w:r>
      <w:r>
        <w:rPr>
          <w:rFonts w:ascii="Times New Roman" w:eastAsia="標楷體" w:hAnsi="Times New Roman" w:cs="Times New Roman" w:hint="eastAsia"/>
          <w:szCs w:val="24"/>
        </w:rPr>
        <w:t>與</w:t>
      </w:r>
      <w:r>
        <w:rPr>
          <w:rFonts w:ascii="Times New Roman" w:eastAsia="標楷體" w:hAnsi="Times New Roman" w:cs="Times New Roman" w:hint="eastAsia"/>
          <w:szCs w:val="24"/>
        </w:rPr>
        <w:t>CKD</w:t>
      </w:r>
      <w:r>
        <w:rPr>
          <w:rFonts w:ascii="Times New Roman" w:eastAsia="標楷體" w:hAnsi="Times New Roman" w:cs="Times New Roman" w:hint="eastAsia"/>
          <w:szCs w:val="24"/>
        </w:rPr>
        <w:t>之劑量反應關係，以確定移開點劑量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point of departure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，並以此計算</w:t>
      </w:r>
      <w:r w:rsidRPr="00165302">
        <w:rPr>
          <w:rFonts w:ascii="Times New Roman" w:eastAsia="標楷體" w:hAnsi="Times New Roman" w:cs="Times New Roman"/>
          <w:szCs w:val="24"/>
        </w:rPr>
        <w:t>暴露限值</w:t>
      </w: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m</w:t>
      </w:r>
      <w:r>
        <w:rPr>
          <w:rFonts w:ascii="Times New Roman" w:eastAsia="標楷體" w:hAnsi="Times New Roman" w:cs="Times New Roman"/>
          <w:szCs w:val="24"/>
        </w:rPr>
        <w:t>argin of e</w:t>
      </w:r>
      <w:r w:rsidRPr="00165302">
        <w:rPr>
          <w:rFonts w:ascii="Times New Roman" w:eastAsia="標楷體" w:hAnsi="Times New Roman" w:cs="Times New Roman"/>
          <w:szCs w:val="24"/>
        </w:rPr>
        <w:t>xposure, MOE)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165302">
        <w:rPr>
          <w:rFonts w:ascii="Times New Roman" w:eastAsia="標楷體" w:hAnsi="Times New Roman" w:cs="Times New Roman"/>
          <w:szCs w:val="24"/>
        </w:rPr>
        <w:t>評估國人</w:t>
      </w:r>
      <w:r>
        <w:rPr>
          <w:rFonts w:ascii="Times New Roman" w:eastAsia="標楷體" w:hAnsi="Times New Roman" w:cs="Times New Roman" w:hint="eastAsia"/>
          <w:szCs w:val="24"/>
        </w:rPr>
        <w:t>i</w:t>
      </w:r>
      <w:r>
        <w:rPr>
          <w:rFonts w:ascii="Times New Roman" w:eastAsia="標楷體" w:hAnsi="Times New Roman" w:cs="Times New Roman"/>
          <w:szCs w:val="24"/>
        </w:rPr>
        <w:t>As</w:t>
      </w:r>
      <w:r>
        <w:rPr>
          <w:rFonts w:ascii="Times New Roman" w:eastAsia="標楷體" w:hAnsi="Times New Roman" w:cs="Times New Roman" w:hint="eastAsia"/>
          <w:szCs w:val="24"/>
        </w:rPr>
        <w:t>攝食</w:t>
      </w:r>
      <w:r w:rsidRPr="00165302">
        <w:rPr>
          <w:rFonts w:ascii="Times New Roman" w:eastAsia="標楷體" w:hAnsi="Times New Roman" w:cs="Times New Roman"/>
          <w:szCs w:val="24"/>
        </w:rPr>
        <w:t>暴露</w:t>
      </w:r>
      <w:r>
        <w:rPr>
          <w:rFonts w:ascii="Times New Roman" w:eastAsia="標楷體" w:hAnsi="Times New Roman" w:cs="Times New Roman" w:hint="eastAsia"/>
          <w:szCs w:val="24"/>
        </w:rPr>
        <w:t>導致</w:t>
      </w:r>
      <w:r>
        <w:rPr>
          <w:rFonts w:ascii="Times New Roman" w:eastAsia="標楷體" w:hAnsi="Times New Roman" w:cs="Times New Roman" w:hint="eastAsia"/>
          <w:szCs w:val="24"/>
        </w:rPr>
        <w:t>CKD</w:t>
      </w:r>
      <w:r>
        <w:rPr>
          <w:rFonts w:ascii="Times New Roman" w:eastAsia="標楷體" w:hAnsi="Times New Roman" w:cs="Times New Roman" w:hint="eastAsia"/>
          <w:szCs w:val="24"/>
        </w:rPr>
        <w:t>之</w:t>
      </w:r>
      <w:r w:rsidRPr="00165302">
        <w:rPr>
          <w:rFonts w:ascii="Times New Roman" w:eastAsia="標楷體" w:hAnsi="Times New Roman" w:cs="Times New Roman"/>
          <w:szCs w:val="24"/>
        </w:rPr>
        <w:t>健康關注程度。</w:t>
      </w:r>
      <w:r>
        <w:rPr>
          <w:rFonts w:ascii="Times New Roman" w:eastAsia="標楷體" w:hAnsi="Times New Roman" w:cs="Times New Roman"/>
          <w:szCs w:val="24"/>
        </w:rPr>
        <w:t>結果指出</w:t>
      </w:r>
      <w:r w:rsidRPr="00165302"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罹患</w:t>
      </w:r>
      <w:r>
        <w:rPr>
          <w:rFonts w:ascii="Times New Roman" w:eastAsia="標楷體" w:hAnsi="Times New Roman" w:cs="Times New Roman" w:hint="eastAsia"/>
          <w:szCs w:val="24"/>
        </w:rPr>
        <w:t>CKD</w:t>
      </w:r>
      <w:r w:rsidRPr="00165302">
        <w:rPr>
          <w:rFonts w:ascii="Times New Roman" w:eastAsia="標楷體" w:hAnsi="Times New Roman" w:cs="Times New Roman"/>
          <w:szCs w:val="24"/>
        </w:rPr>
        <w:t>之</w:t>
      </w:r>
      <w:r>
        <w:rPr>
          <w:rFonts w:ascii="Times New Roman" w:eastAsia="標楷體" w:hAnsi="Times New Roman" w:cs="Times New Roman" w:hint="eastAsia"/>
          <w:szCs w:val="24"/>
        </w:rPr>
        <w:t>居民</w:t>
      </w:r>
      <w:r w:rsidRPr="005072F3">
        <w:rPr>
          <w:rFonts w:ascii="Times New Roman" w:eastAsia="標楷體" w:hAnsi="Times New Roman" w:cs="Times New Roman" w:hint="eastAsia"/>
          <w:szCs w:val="24"/>
        </w:rPr>
        <w:t>具有較高</w:t>
      </w:r>
      <w:r>
        <w:rPr>
          <w:rFonts w:ascii="Times New Roman" w:eastAsia="標楷體" w:hAnsi="Times New Roman" w:cs="Times New Roman" w:hint="eastAsia"/>
          <w:szCs w:val="24"/>
        </w:rPr>
        <w:t>之</w:t>
      </w:r>
      <w:r>
        <w:rPr>
          <w:rFonts w:ascii="Times New Roman" w:eastAsia="標楷體" w:hAnsi="Times New Roman" w:cs="Times New Roman" w:hint="eastAsia"/>
          <w:szCs w:val="24"/>
        </w:rPr>
        <w:t>i</w:t>
      </w:r>
      <w:r>
        <w:rPr>
          <w:rFonts w:ascii="Times New Roman" w:eastAsia="標楷體" w:hAnsi="Times New Roman" w:cs="Times New Roman"/>
          <w:szCs w:val="24"/>
        </w:rPr>
        <w:t>As</w:t>
      </w:r>
      <w:r>
        <w:rPr>
          <w:rFonts w:ascii="Times New Roman" w:eastAsia="標楷體" w:hAnsi="Times New Roman" w:cs="Times New Roman" w:hint="eastAsia"/>
          <w:szCs w:val="24"/>
        </w:rPr>
        <w:t>攝食</w:t>
      </w:r>
      <w:r w:rsidRPr="005072F3">
        <w:rPr>
          <w:rFonts w:ascii="Times New Roman" w:eastAsia="標楷體" w:hAnsi="Times New Roman" w:cs="Times New Roman" w:hint="eastAsia"/>
          <w:szCs w:val="24"/>
        </w:rPr>
        <w:t>暴露量，</w:t>
      </w:r>
      <w:r w:rsidRPr="005072F3">
        <w:rPr>
          <w:rFonts w:ascii="Times New Roman" w:eastAsia="標楷體" w:hAnsi="Times New Roman" w:cs="Times New Roman" w:hint="eastAsia"/>
          <w:szCs w:val="24"/>
        </w:rPr>
        <w:t>ADD</w:t>
      </w:r>
      <w:r w:rsidRPr="005072F3">
        <w:rPr>
          <w:rFonts w:ascii="Times New Roman" w:eastAsia="標楷體" w:hAnsi="Times New Roman" w:cs="Times New Roman" w:hint="eastAsia"/>
          <w:szCs w:val="24"/>
        </w:rPr>
        <w:t>介於</w:t>
      </w:r>
      <w:r>
        <w:rPr>
          <w:rFonts w:ascii="Times New Roman" w:eastAsia="標楷體" w:hAnsi="Times New Roman" w:cs="Times New Roman" w:hint="eastAsia"/>
          <w:szCs w:val="24"/>
        </w:rPr>
        <w:t>0.0020</w:t>
      </w:r>
      <w:r>
        <w:rPr>
          <w:rFonts w:ascii="Times New Roman" w:eastAsia="標楷體" w:hAnsi="Times New Roman" w:cs="Times New Roman"/>
          <w:szCs w:val="24"/>
        </w:rPr>
        <w:t>–</w:t>
      </w:r>
      <w:r w:rsidRPr="005072F3">
        <w:rPr>
          <w:rFonts w:ascii="Times New Roman" w:eastAsia="標楷體" w:hAnsi="Times New Roman" w:cs="Times New Roman" w:hint="eastAsia"/>
          <w:szCs w:val="24"/>
        </w:rPr>
        <w:t>0.0093 mg/kg/day</w:t>
      </w:r>
      <w:r>
        <w:rPr>
          <w:rFonts w:ascii="Times New Roman" w:eastAsia="標楷體" w:hAnsi="Times New Roman" w:cs="Times New Roman" w:hint="eastAsia"/>
          <w:szCs w:val="24"/>
        </w:rPr>
        <w:t>。</w:t>
      </w:r>
      <w:r w:rsidRPr="005072F3">
        <w:rPr>
          <w:rFonts w:ascii="Times New Roman" w:eastAsia="標楷體" w:hAnsi="Times New Roman" w:cs="Times New Roman" w:hint="eastAsia"/>
          <w:szCs w:val="24"/>
        </w:rPr>
        <w:t>劑量反應評估</w:t>
      </w:r>
      <w:r>
        <w:rPr>
          <w:rFonts w:ascii="Times New Roman" w:eastAsia="標楷體" w:hAnsi="Times New Roman" w:cs="Times New Roman" w:hint="eastAsia"/>
          <w:szCs w:val="24"/>
        </w:rPr>
        <w:t>結果顯示，導致</w:t>
      </w:r>
      <w:r>
        <w:rPr>
          <w:rFonts w:ascii="Times New Roman" w:eastAsia="標楷體" w:hAnsi="Times New Roman" w:cs="Times New Roman" w:hint="eastAsia"/>
          <w:szCs w:val="24"/>
        </w:rPr>
        <w:t>5% CKD</w:t>
      </w:r>
      <w:r>
        <w:rPr>
          <w:rFonts w:ascii="Times New Roman" w:eastAsia="標楷體" w:hAnsi="Times New Roman" w:cs="Times New Roman" w:hint="eastAsia"/>
          <w:szCs w:val="24"/>
        </w:rPr>
        <w:t>發生之</w:t>
      </w:r>
      <w:r w:rsidRPr="00324623">
        <w:rPr>
          <w:rFonts w:ascii="Times New Roman" w:eastAsia="標楷體" w:hAnsi="Times New Roman" w:cs="Times New Roman" w:hint="eastAsia"/>
          <w:szCs w:val="24"/>
        </w:rPr>
        <w:t>基準劑量可信下限劑量</w:t>
      </w:r>
      <w:r>
        <w:rPr>
          <w:rFonts w:ascii="Times New Roman" w:eastAsia="標楷體" w:hAnsi="Times New Roman" w:cs="Times New Roman" w:hint="eastAsia"/>
          <w:szCs w:val="24"/>
        </w:rPr>
        <w:t>(Benchmark dose lower confidence limit, BMDL</w:t>
      </w:r>
      <w:r w:rsidRPr="00324623">
        <w:rPr>
          <w:rFonts w:ascii="Times New Roman" w:eastAsia="標楷體" w:hAnsi="Times New Roman" w:cs="Times New Roman" w:hint="eastAsia"/>
          <w:szCs w:val="24"/>
          <w:vertAlign w:val="subscript"/>
        </w:rPr>
        <w:t>5</w:t>
      </w:r>
      <w:r w:rsidRPr="00324623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為</w:t>
      </w:r>
      <w:r w:rsidRPr="005072F3">
        <w:rPr>
          <w:rFonts w:ascii="Times New Roman" w:eastAsia="標楷體" w:hAnsi="Times New Roman" w:cs="Times New Roman" w:hint="eastAsia"/>
          <w:szCs w:val="24"/>
        </w:rPr>
        <w:t>0.0023 mg/kg/day</w:t>
      </w:r>
      <w:r>
        <w:rPr>
          <w:rFonts w:ascii="Times New Roman" w:eastAsia="標楷體" w:hAnsi="Times New Roman" w:cs="Times New Roman" w:hint="eastAsia"/>
          <w:szCs w:val="24"/>
        </w:rPr>
        <w:t>。風險評估結果顯示，</w:t>
      </w:r>
      <w:r w:rsidRPr="00165302">
        <w:rPr>
          <w:rFonts w:ascii="Times New Roman" w:eastAsia="標楷體" w:hAnsi="Times New Roman" w:cs="Times New Roman"/>
          <w:szCs w:val="24"/>
        </w:rPr>
        <w:t>所有</w:t>
      </w:r>
      <w:r>
        <w:rPr>
          <w:rFonts w:ascii="Times New Roman" w:eastAsia="標楷體" w:hAnsi="Times New Roman" w:cs="Times New Roman" w:hint="eastAsia"/>
          <w:szCs w:val="24"/>
        </w:rPr>
        <w:t>居民之</w:t>
      </w:r>
      <w:r w:rsidRPr="00165302">
        <w:rPr>
          <w:rFonts w:ascii="Times New Roman" w:eastAsia="標楷體" w:hAnsi="Times New Roman" w:cs="Times New Roman"/>
          <w:szCs w:val="24"/>
        </w:rPr>
        <w:t>MOE</w:t>
      </w:r>
      <w:r w:rsidRPr="00165302">
        <w:rPr>
          <w:rFonts w:ascii="Times New Roman" w:eastAsia="標楷體" w:hAnsi="Times New Roman" w:cs="Times New Roman"/>
          <w:szCs w:val="24"/>
        </w:rPr>
        <w:t>介於</w:t>
      </w:r>
      <w:r>
        <w:rPr>
          <w:rFonts w:ascii="Times New Roman" w:eastAsia="標楷體" w:hAnsi="Times New Roman" w:cs="Times New Roman"/>
          <w:szCs w:val="24"/>
        </w:rPr>
        <w:t>0.24–</w:t>
      </w:r>
      <w:r w:rsidRPr="00020271">
        <w:rPr>
          <w:rFonts w:ascii="Times New Roman" w:eastAsia="標楷體" w:hAnsi="Times New Roman" w:cs="Times New Roman"/>
          <w:szCs w:val="24"/>
        </w:rPr>
        <w:t>1.14</w:t>
      </w:r>
      <w:r w:rsidRPr="00165302">
        <w:rPr>
          <w:rFonts w:ascii="Times New Roman" w:eastAsia="標楷體" w:hAnsi="Times New Roman" w:cs="Times New Roman"/>
          <w:szCs w:val="24"/>
        </w:rPr>
        <w:t>之間</w:t>
      </w:r>
      <w:r>
        <w:rPr>
          <w:rFonts w:ascii="Times New Roman" w:eastAsia="標楷體" w:hAnsi="Times New Roman" w:cs="Times New Roman" w:hint="eastAsia"/>
          <w:szCs w:val="24"/>
        </w:rPr>
        <w:t>，當</w:t>
      </w:r>
      <w:r>
        <w:rPr>
          <w:rFonts w:ascii="Times New Roman" w:eastAsia="標楷體" w:hAnsi="Times New Roman" w:cs="Times New Roman" w:hint="eastAsia"/>
          <w:szCs w:val="24"/>
        </w:rPr>
        <w:t>MOE</w:t>
      </w:r>
      <w:r>
        <w:rPr>
          <w:rFonts w:ascii="Times New Roman" w:eastAsia="標楷體" w:hAnsi="Times New Roman" w:cs="Times New Roman" w:hint="eastAsia"/>
          <w:szCs w:val="24"/>
        </w:rPr>
        <w:t>大於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表示有潛在健康關注之疑慮，顯示</w:t>
      </w:r>
      <w:r w:rsidRPr="00C22A94">
        <w:rPr>
          <w:rFonts w:ascii="Times New Roman" w:eastAsia="標楷體" w:hAnsi="Times New Roman" w:cs="Times New Roman" w:hint="eastAsia"/>
          <w:szCs w:val="24"/>
        </w:rPr>
        <w:t>國人砷暴露而引起慢性腎臟病之風險是</w:t>
      </w:r>
      <w:r>
        <w:rPr>
          <w:rFonts w:ascii="Times New Roman" w:eastAsia="標楷體" w:hAnsi="Times New Roman" w:cs="Times New Roman" w:hint="eastAsia"/>
          <w:szCs w:val="24"/>
        </w:rPr>
        <w:t>需要關注的。本研究提供一整合性數學機制方法學，使用生物監測數據洞悉臺灣</w:t>
      </w:r>
      <w:r>
        <w:rPr>
          <w:rFonts w:ascii="Times New Roman" w:eastAsia="標楷體" w:hAnsi="Times New Roman" w:cs="Times New Roman" w:hint="eastAsia"/>
          <w:szCs w:val="24"/>
        </w:rPr>
        <w:t>i</w:t>
      </w:r>
      <w:r>
        <w:rPr>
          <w:rFonts w:ascii="Times New Roman" w:eastAsia="標楷體" w:hAnsi="Times New Roman" w:cs="Times New Roman"/>
          <w:szCs w:val="24"/>
        </w:rPr>
        <w:t>As</w:t>
      </w:r>
      <w:r>
        <w:rPr>
          <w:rFonts w:ascii="Times New Roman" w:eastAsia="標楷體" w:hAnsi="Times New Roman" w:cs="Times New Roman" w:hint="eastAsia"/>
          <w:szCs w:val="24"/>
        </w:rPr>
        <w:t>攝食暴露程度及</w:t>
      </w:r>
      <w:r w:rsidRPr="006A243E">
        <w:rPr>
          <w:rFonts w:ascii="Times New Roman" w:eastAsia="標楷體" w:hAnsi="Times New Roman" w:cs="Times New Roman" w:hint="eastAsia"/>
          <w:szCs w:val="24"/>
        </w:rPr>
        <w:t>釐清</w:t>
      </w:r>
      <w:r>
        <w:rPr>
          <w:rFonts w:ascii="Times New Roman" w:eastAsia="標楷體" w:hAnsi="Times New Roman" w:cs="Times New Roman" w:hint="eastAsia"/>
          <w:szCs w:val="24"/>
        </w:rPr>
        <w:t>其</w:t>
      </w:r>
      <w:r w:rsidRPr="006A243E">
        <w:rPr>
          <w:rFonts w:ascii="Times New Roman" w:eastAsia="標楷體" w:hAnsi="Times New Roman" w:cs="Times New Roman" w:hint="eastAsia"/>
          <w:szCs w:val="24"/>
        </w:rPr>
        <w:t>是否對國人構成</w:t>
      </w:r>
      <w:r>
        <w:rPr>
          <w:rFonts w:ascii="Times New Roman" w:eastAsia="標楷體" w:hAnsi="Times New Roman" w:cs="Times New Roman" w:hint="eastAsia"/>
          <w:szCs w:val="24"/>
        </w:rPr>
        <w:t>CKD</w:t>
      </w:r>
      <w:r w:rsidRPr="006A243E">
        <w:rPr>
          <w:rFonts w:ascii="Times New Roman" w:eastAsia="標楷體" w:hAnsi="Times New Roman" w:cs="Times New Roman" w:hint="eastAsia"/>
          <w:szCs w:val="24"/>
        </w:rPr>
        <w:t>之風險</w:t>
      </w:r>
      <w:r>
        <w:rPr>
          <w:rFonts w:ascii="Times New Roman" w:eastAsia="標楷體" w:hAnsi="Times New Roman" w:cs="Times New Roman" w:hint="eastAsia"/>
          <w:szCs w:val="24"/>
        </w:rPr>
        <w:t>，成果可提供我國</w:t>
      </w:r>
      <w:r w:rsidRPr="006A243E">
        <w:rPr>
          <w:rFonts w:ascii="Times New Roman" w:eastAsia="標楷體" w:hAnsi="Times New Roman" w:cs="Times New Roman" w:hint="eastAsia"/>
          <w:szCs w:val="24"/>
        </w:rPr>
        <w:t>重金屬監測與管理之科學依據。</w:t>
      </w:r>
    </w:p>
    <w:p w:rsidR="00E85059" w:rsidRDefault="00E85059" w:rsidP="00E85059">
      <w:pPr>
        <w:adjustRightInd w:val="0"/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:rsidR="00E85059" w:rsidRDefault="00E85059" w:rsidP="00E85059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E85059" w:rsidRPr="00E85059" w:rsidRDefault="00E85059" w:rsidP="00E85059">
      <w:pPr>
        <w:snapToGrid w:val="0"/>
        <w:rPr>
          <w:rFonts w:ascii="Times New Roman" w:eastAsia="標楷體" w:hAnsi="Times New Roman" w:cs="Times New Roman"/>
          <w:szCs w:val="24"/>
        </w:rPr>
      </w:pPr>
      <w:r w:rsidRPr="00B12AA7">
        <w:rPr>
          <w:rFonts w:ascii="Times New Roman" w:eastAsia="標楷體" w:hAnsi="Times New Roman" w:cs="Times New Roman" w:hint="eastAsia"/>
          <w:szCs w:val="24"/>
        </w:rPr>
        <w:t>關鍵字：</w:t>
      </w:r>
      <w:r>
        <w:rPr>
          <w:rFonts w:ascii="Times New Roman" w:eastAsia="標楷體" w:hAnsi="Times New Roman" w:cs="Times New Roman" w:hint="eastAsia"/>
          <w:szCs w:val="24"/>
        </w:rPr>
        <w:t>砷、慢性腎臟病、反向劑量學、藥物動力學模式、風險評估</w:t>
      </w:r>
      <w:r w:rsidRPr="00B12AA7">
        <w:rPr>
          <w:rFonts w:ascii="Times New Roman" w:eastAsia="標楷體" w:hAnsi="Times New Roman" w:cs="Times New Roman"/>
          <w:szCs w:val="24"/>
        </w:rPr>
        <w:t xml:space="preserve"> </w:t>
      </w:r>
    </w:p>
    <w:sectPr w:rsidR="00E85059" w:rsidRPr="00E8505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9C" w:rsidRDefault="00D8319C" w:rsidP="00E85059">
      <w:r>
        <w:separator/>
      </w:r>
    </w:p>
  </w:endnote>
  <w:endnote w:type="continuationSeparator" w:id="0">
    <w:p w:rsidR="00D8319C" w:rsidRDefault="00D8319C" w:rsidP="00E8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76" w:rsidRDefault="00E774C0" w:rsidP="00084B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150976" w:rsidRDefault="00C807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76" w:rsidRPr="00027541" w:rsidRDefault="00C8079A" w:rsidP="00DC236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9C" w:rsidRDefault="00D8319C" w:rsidP="00E85059">
      <w:r>
        <w:separator/>
      </w:r>
    </w:p>
  </w:footnote>
  <w:footnote w:type="continuationSeparator" w:id="0">
    <w:p w:rsidR="00D8319C" w:rsidRDefault="00D8319C" w:rsidP="00E85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57F4D"/>
    <w:multiLevelType w:val="singleLevel"/>
    <w:tmpl w:val="95AA21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>
    <w:nsid w:val="7C175FE5"/>
    <w:multiLevelType w:val="hybridMultilevel"/>
    <w:tmpl w:val="3CA6282A"/>
    <w:lvl w:ilvl="0" w:tplc="04090001">
      <w:start w:val="1"/>
      <w:numFmt w:val="bullet"/>
      <w:lvlText w:val=""/>
      <w:lvlJc w:val="left"/>
      <w:pPr>
        <w:tabs>
          <w:tab w:val="num" w:pos="877"/>
        </w:tabs>
        <w:ind w:left="87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7"/>
        </w:tabs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7"/>
        </w:tabs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7"/>
        </w:tabs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7"/>
        </w:tabs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7"/>
        </w:tabs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7"/>
        </w:tabs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7"/>
        </w:tabs>
        <w:ind w:left="471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E6"/>
    <w:rsid w:val="001E00E6"/>
    <w:rsid w:val="00455FC3"/>
    <w:rsid w:val="004D50F1"/>
    <w:rsid w:val="0076031F"/>
    <w:rsid w:val="008F2808"/>
    <w:rsid w:val="00C8079A"/>
    <w:rsid w:val="00D8319C"/>
    <w:rsid w:val="00E774C0"/>
    <w:rsid w:val="00E85059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AC44C1B-380E-49FD-8833-0A626A44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50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5059"/>
    <w:rPr>
      <w:sz w:val="20"/>
      <w:szCs w:val="20"/>
    </w:rPr>
  </w:style>
  <w:style w:type="character" w:styleId="a7">
    <w:name w:val="page number"/>
    <w:basedOn w:val="a0"/>
    <w:rsid w:val="00E8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4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</dc:creator>
  <cp:keywords/>
  <dc:description/>
  <cp:lastModifiedBy>6139</cp:lastModifiedBy>
  <cp:revision>2</cp:revision>
  <dcterms:created xsi:type="dcterms:W3CDTF">2018-09-11T08:01:00Z</dcterms:created>
  <dcterms:modified xsi:type="dcterms:W3CDTF">2018-09-11T08:01:00Z</dcterms:modified>
</cp:coreProperties>
</file>